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954CC" w:rsidRPr="00C24DD4" w:rsidRDefault="00966F71" w:rsidP="0026504F">
      <w:pPr>
        <w:rPr>
          <w:rFonts w:asciiTheme="minorHAnsi" w:hAnsiTheme="minorHAnsi" w:cstheme="minorHAnsi"/>
          <w:b/>
          <w:sz w:val="36"/>
          <w:szCs w:val="36"/>
        </w:rPr>
      </w:pPr>
      <w:r w:rsidRPr="00C24DD4">
        <w:rPr>
          <w:rFonts w:asciiTheme="minorHAnsi" w:hAnsiTheme="minorHAnsi" w:cstheme="minorHAnsi"/>
          <w:b/>
          <w:sz w:val="36"/>
          <w:szCs w:val="36"/>
        </w:rPr>
        <w:t>ACQUISIZIONE</w:t>
      </w:r>
      <w:r w:rsidR="00AA6A36" w:rsidRPr="00C24DD4">
        <w:rPr>
          <w:rFonts w:asciiTheme="minorHAnsi" w:hAnsiTheme="minorHAnsi" w:cstheme="minorHAnsi"/>
          <w:b/>
          <w:bCs/>
          <w:sz w:val="36"/>
          <w:szCs w:val="36"/>
        </w:rPr>
        <w:t xml:space="preserve"> </w:t>
      </w:r>
      <w:r w:rsidR="00AA6A36" w:rsidRPr="00C24DD4">
        <w:rPr>
          <w:rFonts w:asciiTheme="minorHAnsi" w:hAnsiTheme="minorHAnsi" w:cstheme="minorHAnsi"/>
          <w:b/>
          <w:sz w:val="36"/>
          <w:szCs w:val="36"/>
        </w:rPr>
        <w:t>D</w:t>
      </w:r>
      <w:r w:rsidR="00AA09E0" w:rsidRPr="00C24DD4">
        <w:rPr>
          <w:rFonts w:asciiTheme="minorHAnsi" w:hAnsiTheme="minorHAnsi" w:cstheme="minorHAnsi"/>
          <w:b/>
          <w:sz w:val="36"/>
          <w:szCs w:val="36"/>
        </w:rPr>
        <w:t xml:space="preserve">I </w:t>
      </w:r>
      <w:r w:rsidR="0006511F" w:rsidRPr="00C24DD4">
        <w:rPr>
          <w:rFonts w:asciiTheme="minorHAnsi" w:hAnsiTheme="minorHAnsi" w:cstheme="minorHAnsi"/>
          <w:b/>
          <w:sz w:val="36"/>
          <w:szCs w:val="36"/>
        </w:rPr>
        <w:t xml:space="preserve">PRODOTTI E SERVIZI IBM PER SOGEI </w:t>
      </w: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rsidP="00143BE2">
      <w:pPr>
        <w:pStyle w:val="Titolo4"/>
        <w:jc w:val="left"/>
        <w:rPr>
          <w:rFonts w:asciiTheme="minorHAnsi" w:hAnsiTheme="minorHAnsi" w:cstheme="minorHAnsi"/>
        </w:rPr>
      </w:pPr>
    </w:p>
    <w:p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rsidR="000B4D07" w:rsidRPr="00C24DD4" w:rsidRDefault="000B4D07">
      <w:pPr>
        <w:jc w:val="both"/>
        <w:rPr>
          <w:rFonts w:asciiTheme="minorHAnsi" w:hAnsiTheme="minorHAnsi" w:cstheme="minorHAnsi"/>
          <w:sz w:val="20"/>
          <w:szCs w:val="20"/>
        </w:rPr>
      </w:pPr>
    </w:p>
    <w:p w:rsidR="000B4D07" w:rsidRPr="00C24DD4" w:rsidRDefault="000B4D07">
      <w:pPr>
        <w:spacing w:line="360" w:lineRule="auto"/>
        <w:rPr>
          <w:rFonts w:asciiTheme="minorHAnsi" w:hAnsiTheme="minorHAnsi" w:cstheme="minorHAnsi"/>
          <w:sz w:val="20"/>
          <w:szCs w:val="20"/>
        </w:rPr>
      </w:pPr>
    </w:p>
    <w:p w:rsidR="000B4D07" w:rsidRPr="00C24DD4" w:rsidRDefault="000B4D07">
      <w:pPr>
        <w:spacing w:line="360" w:lineRule="auto"/>
        <w:rPr>
          <w:rFonts w:asciiTheme="minorHAnsi" w:hAnsiTheme="minorHAnsi" w:cstheme="minorHAnsi"/>
          <w:sz w:val="20"/>
          <w:szCs w:val="20"/>
        </w:rPr>
      </w:pPr>
    </w:p>
    <w:p w:rsidR="000954CC" w:rsidRPr="00C24DD4" w:rsidRDefault="000954CC">
      <w:pPr>
        <w:spacing w:line="360" w:lineRule="auto"/>
        <w:rPr>
          <w:rFonts w:asciiTheme="minorHAnsi" w:hAnsiTheme="minorHAnsi" w:cstheme="minorHAnsi"/>
          <w:sz w:val="20"/>
          <w:szCs w:val="20"/>
        </w:rPr>
      </w:pPr>
    </w:p>
    <w:p w:rsidR="000954CC" w:rsidRPr="00C24DD4" w:rsidRDefault="000954CC">
      <w:pPr>
        <w:spacing w:line="360" w:lineRule="auto"/>
        <w:rPr>
          <w:rFonts w:asciiTheme="minorHAnsi" w:hAnsiTheme="minorHAnsi" w:cstheme="minorHAnsi"/>
          <w:sz w:val="20"/>
          <w:szCs w:val="20"/>
        </w:rPr>
      </w:pPr>
    </w:p>
    <w:p w:rsidR="000B4D07" w:rsidRPr="00C24DD4" w:rsidRDefault="000B4D07">
      <w:pPr>
        <w:pStyle w:val="Titolo4"/>
        <w:jc w:val="left"/>
        <w:rPr>
          <w:rFonts w:asciiTheme="minorHAnsi" w:hAnsiTheme="minorHAnsi" w:cstheme="minorHAnsi"/>
          <w:sz w:val="20"/>
          <w:szCs w:val="20"/>
        </w:rPr>
      </w:pPr>
    </w:p>
    <w:p w:rsidR="000B4D07" w:rsidRPr="00C24DD4" w:rsidRDefault="000B4D07">
      <w:pPr>
        <w:pStyle w:val="Titolo4"/>
        <w:jc w:val="left"/>
        <w:rPr>
          <w:rFonts w:asciiTheme="minorHAnsi" w:hAnsiTheme="minorHAnsi" w:cstheme="minorHAnsi"/>
          <w:sz w:val="20"/>
          <w:szCs w:val="20"/>
        </w:rPr>
      </w:pPr>
    </w:p>
    <w:p w:rsidR="000954CC" w:rsidRPr="00C24DD4" w:rsidRDefault="000954CC" w:rsidP="00402B52">
      <w:pPr>
        <w:rPr>
          <w:rFonts w:asciiTheme="minorHAnsi" w:hAnsiTheme="minorHAnsi" w:cstheme="minorHAnsi"/>
        </w:rPr>
      </w:pPr>
    </w:p>
    <w:p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rsidR="000954CC" w:rsidRPr="00C24DD4" w:rsidRDefault="000954CC" w:rsidP="00402B52">
      <w:pPr>
        <w:spacing w:line="276" w:lineRule="auto"/>
        <w:jc w:val="both"/>
        <w:rPr>
          <w:rFonts w:asciiTheme="minorHAnsi" w:hAnsiTheme="minorHAnsi" w:cstheme="minorHAnsi"/>
          <w:bCs/>
          <w:sz w:val="20"/>
          <w:szCs w:val="20"/>
        </w:rPr>
      </w:pPr>
    </w:p>
    <w:p w:rsidR="00C9467E" w:rsidRPr="00C24DD4" w:rsidRDefault="00D848AA" w:rsidP="00C9467E">
      <w:pPr>
        <w:spacing w:line="276" w:lineRule="auto"/>
        <w:jc w:val="both"/>
        <w:rPr>
          <w:rFonts w:asciiTheme="minorHAnsi" w:hAnsiTheme="minorHAnsi" w:cstheme="minorHAnsi"/>
          <w:sz w:val="20"/>
          <w:szCs w:val="20"/>
          <w:lang w:val="en-US"/>
        </w:rPr>
      </w:pPr>
      <w:hyperlink r:id="rId8" w:history="1">
        <w:r w:rsidR="00C9467E" w:rsidRPr="00C24DD4">
          <w:rPr>
            <w:rStyle w:val="Collegamentoipertestuale"/>
            <w:rFonts w:asciiTheme="minorHAnsi" w:hAnsiTheme="minorHAnsi" w:cstheme="minorHAnsi"/>
            <w:sz w:val="20"/>
            <w:szCs w:val="20"/>
            <w:lang w:val="en-US"/>
          </w:rPr>
          <w:t>ictconsip@postacert.consip.it</w:t>
        </w:r>
      </w:hyperlink>
    </w:p>
    <w:p w:rsidR="000954CC" w:rsidRPr="00C24DD4" w:rsidRDefault="000954CC" w:rsidP="00402B52">
      <w:pPr>
        <w:spacing w:line="276" w:lineRule="auto"/>
        <w:jc w:val="both"/>
        <w:rPr>
          <w:rFonts w:asciiTheme="minorHAnsi" w:hAnsiTheme="minorHAnsi" w:cstheme="minorHAnsi"/>
          <w:b/>
          <w:bCs/>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 xml:space="preserve">Roma, </w:t>
      </w:r>
      <w:r w:rsidR="00704266" w:rsidRPr="00C24DD4">
        <w:rPr>
          <w:rFonts w:asciiTheme="minorHAnsi" w:hAnsiTheme="minorHAnsi" w:cstheme="minorHAnsi"/>
          <w:bCs/>
          <w:sz w:val="20"/>
          <w:szCs w:val="20"/>
        </w:rPr>
        <w:t>16/04/2020</w:t>
      </w:r>
    </w:p>
    <w:p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rsidR="00D31B15" w:rsidRPr="00C24DD4" w:rsidRDefault="00D31B15" w:rsidP="0077786E">
      <w:pPr>
        <w:spacing w:after="120" w:line="276" w:lineRule="auto"/>
        <w:jc w:val="both"/>
        <w:rPr>
          <w:rFonts w:asciiTheme="minorHAnsi" w:hAnsiTheme="minorHAnsi" w:cstheme="minorHAnsi"/>
          <w:color w:val="0070C0"/>
          <w:sz w:val="20"/>
          <w:szCs w:val="20"/>
        </w:rPr>
      </w:pPr>
      <w:r w:rsidRPr="00C24DD4">
        <w:rPr>
          <w:rFonts w:asciiTheme="minorHAnsi" w:hAnsiTheme="minorHAnsi" w:cstheme="minorHAnsi"/>
          <w:sz w:val="20"/>
          <w:szCs w:val="20"/>
        </w:rPr>
        <w:t xml:space="preserve">La presente consultazione di mercato è relativa all’acquisizione </w:t>
      </w:r>
      <w:r w:rsidR="00143BE2" w:rsidRPr="00C24DD4">
        <w:rPr>
          <w:rFonts w:asciiTheme="minorHAnsi" w:hAnsiTheme="minorHAnsi" w:cstheme="minorHAnsi"/>
          <w:sz w:val="20"/>
          <w:szCs w:val="20"/>
        </w:rPr>
        <w:t>di licenze software a tempo determinato e indeterminato, servizi di manutenzione software e servizi di supporto specialistico, relativi ai sistemi dipartimentali del Ministero dell’Economia e Finanze (Area Economia ed Area Fiscalità) e della Corte dei Conti.</w:t>
      </w:r>
    </w:p>
    <w:p w:rsidR="00D31B15" w:rsidRPr="00C24DD4" w:rsidRDefault="00D31B15"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rsidR="00FB116C" w:rsidRPr="00C24DD4" w:rsidRDefault="001B1A08" w:rsidP="0077786E">
      <w:pPr>
        <w:pStyle w:val="Corpodeltesto21"/>
        <w:spacing w:after="120" w:line="276" w:lineRule="auto"/>
        <w:rPr>
          <w:rFonts w:asciiTheme="minorHAnsi" w:hAnsiTheme="minorHAnsi" w:cstheme="minorHAnsi"/>
          <w:sz w:val="20"/>
          <w:szCs w:val="20"/>
        </w:rPr>
      </w:pPr>
      <w:r w:rsidRPr="00C24DD4">
        <w:rPr>
          <w:rFonts w:asciiTheme="minorHAnsi" w:hAnsiTheme="minorHAnsi" w:cstheme="minorHAnsi"/>
          <w:sz w:val="20"/>
          <w:szCs w:val="20"/>
        </w:rPr>
        <w:t xml:space="preserve">Ai sensi della Determinazione dell’ANAC “Linee guida per il ricorso a procedure negoziate senza previa pubblicazione di un bando nel caso di forniture e servizi ritenuti infungibili”, Consip S.p.A. informa pertanto il mercato della fornitura circa gli elementi di seguito riportati, </w:t>
      </w:r>
      <w:r w:rsidR="00FB116C" w:rsidRPr="00C24DD4">
        <w:rPr>
          <w:rFonts w:asciiTheme="minorHAnsi" w:hAnsiTheme="minorHAnsi" w:cstheme="minorHAnsi"/>
          <w:sz w:val="20"/>
          <w:szCs w:val="20"/>
        </w:rPr>
        <w:t>con l’obiettivo di</w:t>
      </w:r>
      <w:r w:rsidR="008B4BF9" w:rsidRPr="00C24DD4">
        <w:rPr>
          <w:rFonts w:asciiTheme="minorHAnsi" w:hAnsiTheme="minorHAnsi" w:cstheme="minorHAnsi"/>
          <w:sz w:val="20"/>
          <w:szCs w:val="20"/>
        </w:rPr>
        <w:t>:</w:t>
      </w:r>
    </w:p>
    <w:p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w:t>
      </w:r>
      <w:r w:rsidR="0079053A" w:rsidRPr="00C24DD4">
        <w:rPr>
          <w:rFonts w:asciiTheme="minorHAnsi" w:hAnsiTheme="minorHAnsi" w:cstheme="minorHAnsi"/>
          <w:sz w:val="20"/>
          <w:szCs w:val="20"/>
        </w:rPr>
        <w:t>’</w:t>
      </w:r>
      <w:r w:rsidRPr="00C24DD4">
        <w:rPr>
          <w:rFonts w:asciiTheme="minorHAnsi" w:hAnsiTheme="minorHAnsi" w:cstheme="minorHAnsi"/>
          <w:sz w:val="20"/>
          <w:szCs w:val="20"/>
        </w:rPr>
        <w:t>iniziativ</w:t>
      </w:r>
      <w:r w:rsidR="001333DC" w:rsidRPr="00C24DD4">
        <w:rPr>
          <w:rFonts w:asciiTheme="minorHAnsi" w:hAnsiTheme="minorHAnsi" w:cstheme="minorHAnsi"/>
          <w:sz w:val="20"/>
          <w:szCs w:val="20"/>
        </w:rPr>
        <w:t>a</w:t>
      </w:r>
      <w:r w:rsidRPr="00C24DD4">
        <w:rPr>
          <w:rFonts w:asciiTheme="minorHAnsi" w:hAnsiTheme="minorHAnsi" w:cstheme="minorHAnsi"/>
          <w:sz w:val="20"/>
          <w:szCs w:val="20"/>
        </w:rPr>
        <w:t xml:space="preserve"> per assicurare la più ampia diffusione delle informazioni;</w:t>
      </w:r>
    </w:p>
    <w:p w:rsidR="000B4D07" w:rsidRPr="00C24DD4" w:rsidRDefault="009D2FBF"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verificare l’effettiva esistenza di più operatori economici potenzialmente interessati;</w:t>
      </w:r>
    </w:p>
    <w:p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rsidR="001B1A08"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ricevere, da parte dei soggetti interessati, osservazioni e suggerimenti per una più compiuta conoscenza del mercato</w:t>
      </w:r>
      <w:r w:rsidR="008D2421" w:rsidRPr="00C24DD4">
        <w:rPr>
          <w:rFonts w:asciiTheme="minorHAnsi" w:hAnsiTheme="minorHAnsi" w:cstheme="minorHAnsi"/>
          <w:sz w:val="20"/>
          <w:szCs w:val="20"/>
        </w:rPr>
        <w:t xml:space="preserve"> avuto riguardo a eventuali soluzioni alternative</w:t>
      </w:r>
      <w:r w:rsidR="009D2FBF" w:rsidRPr="00C24DD4">
        <w:rPr>
          <w:rFonts w:asciiTheme="minorHAnsi" w:hAnsiTheme="minorHAnsi" w:cstheme="minorHAnsi"/>
          <w:sz w:val="20"/>
          <w:szCs w:val="20"/>
        </w:rPr>
        <w:t>,</w:t>
      </w:r>
      <w:r w:rsidR="008D2421" w:rsidRPr="00C24DD4">
        <w:rPr>
          <w:rFonts w:asciiTheme="minorHAnsi" w:hAnsiTheme="minorHAnsi" w:cstheme="minorHAnsi"/>
          <w:sz w:val="20"/>
          <w:szCs w:val="20"/>
        </w:rPr>
        <w:t xml:space="preserve"> purché rispondenti in toto alle esigenze </w:t>
      </w:r>
      <w:r w:rsidR="00392F63" w:rsidRPr="00C24DD4">
        <w:rPr>
          <w:rFonts w:asciiTheme="minorHAnsi" w:hAnsiTheme="minorHAnsi" w:cstheme="minorHAnsi"/>
          <w:sz w:val="20"/>
          <w:szCs w:val="20"/>
        </w:rPr>
        <w:t>dell’Amministrazione</w:t>
      </w:r>
      <w:r w:rsidR="008D2421" w:rsidRPr="00C24DD4">
        <w:rPr>
          <w:rFonts w:asciiTheme="minorHAnsi" w:hAnsiTheme="minorHAnsi" w:cstheme="minorHAnsi"/>
          <w:sz w:val="20"/>
          <w:szCs w:val="20"/>
        </w:rPr>
        <w:t xml:space="preserve"> di seguito riportat</w:t>
      </w:r>
      <w:r w:rsidR="00392F63" w:rsidRPr="00C24DD4">
        <w:rPr>
          <w:rFonts w:asciiTheme="minorHAnsi" w:hAnsiTheme="minorHAnsi" w:cstheme="minorHAnsi"/>
          <w:sz w:val="20"/>
          <w:szCs w:val="20"/>
        </w:rPr>
        <w:t>e</w:t>
      </w:r>
      <w:r w:rsidR="009D2FBF" w:rsidRPr="00C24DD4">
        <w:rPr>
          <w:rFonts w:asciiTheme="minorHAnsi" w:hAnsiTheme="minorHAnsi" w:cstheme="minorHAnsi"/>
          <w:sz w:val="20"/>
          <w:szCs w:val="20"/>
        </w:rPr>
        <w:t>, nonché alle condizioni di prezzo mediamente praticate</w:t>
      </w:r>
      <w:r w:rsidR="008D2421" w:rsidRPr="00C24DD4">
        <w:rPr>
          <w:rFonts w:asciiTheme="minorHAnsi" w:hAnsiTheme="minorHAnsi" w:cstheme="minorHAnsi"/>
          <w:sz w:val="20"/>
          <w:szCs w:val="20"/>
        </w:rPr>
        <w:t>.</w:t>
      </w:r>
    </w:p>
    <w:p w:rsidR="009D2FBF" w:rsidRPr="00C24DD4" w:rsidRDefault="00461922"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Ciò anche al fine di confermare o meno l’esistenza dei presupposti che consentono ai sensi dell’art. 63</w:t>
      </w:r>
      <w:r w:rsidR="009D2FBF" w:rsidRPr="00C24DD4">
        <w:rPr>
          <w:rFonts w:asciiTheme="minorHAnsi" w:hAnsiTheme="minorHAnsi" w:cstheme="minorHAnsi"/>
          <w:sz w:val="20"/>
          <w:szCs w:val="20"/>
        </w:rPr>
        <w:t xml:space="preserve"> del</w:t>
      </w:r>
      <w:r w:rsidRPr="00C24DD4">
        <w:rPr>
          <w:rFonts w:asciiTheme="minorHAnsi" w:hAnsiTheme="minorHAnsi" w:cstheme="minorHAnsi"/>
          <w:sz w:val="20"/>
          <w:szCs w:val="20"/>
        </w:rPr>
        <w:t xml:space="preserve"> </w:t>
      </w:r>
      <w:r w:rsidR="009D2FBF" w:rsidRPr="00C24DD4">
        <w:rPr>
          <w:rFonts w:asciiTheme="minorHAnsi" w:hAnsiTheme="minorHAnsi" w:cstheme="minorHAnsi"/>
          <w:sz w:val="20"/>
          <w:szCs w:val="20"/>
        </w:rPr>
        <w:t>D</w:t>
      </w:r>
      <w:r w:rsidRPr="00C24DD4">
        <w:rPr>
          <w:rFonts w:asciiTheme="minorHAnsi" w:hAnsiTheme="minorHAnsi" w:cstheme="minorHAnsi"/>
          <w:sz w:val="20"/>
          <w:szCs w:val="20"/>
        </w:rPr>
        <w:t>.lgs. 50/2016 il ricorso alla procedura negoziata senza pubblicazione del bando.</w:t>
      </w:r>
      <w:r w:rsidR="00052B83" w:rsidRPr="00C24DD4">
        <w:rPr>
          <w:rFonts w:asciiTheme="minorHAnsi" w:hAnsiTheme="minorHAnsi" w:cstheme="minorHAnsi"/>
          <w:sz w:val="20"/>
          <w:szCs w:val="20"/>
        </w:rPr>
        <w:t xml:space="preserve"> </w:t>
      </w:r>
    </w:p>
    <w:p w:rsidR="000B4D07" w:rsidRPr="00C24DD4" w:rsidRDefault="000B4D07" w:rsidP="00C9467E">
      <w:pPr>
        <w:spacing w:line="276" w:lineRule="auto"/>
        <w:jc w:val="both"/>
        <w:rPr>
          <w:rFonts w:asciiTheme="minorHAnsi" w:hAnsiTheme="minorHAnsi" w:cstheme="minorHAnsi"/>
          <w:sz w:val="20"/>
          <w:szCs w:val="20"/>
          <w:lang w:val="en-US"/>
        </w:rPr>
      </w:pPr>
      <w:r w:rsidRPr="00C24DD4">
        <w:rPr>
          <w:rFonts w:asciiTheme="minorHAnsi" w:hAnsiTheme="minorHAnsi" w:cstheme="minorHAnsi"/>
          <w:sz w:val="20"/>
          <w:szCs w:val="20"/>
        </w:rPr>
        <w:t>Vi preghiamo di fornire il Vostro contributo - previa presa visione dell’informativa sul trattamento dei dati personali sotto riportata - compilando il presente questionario e inviandolo entro</w:t>
      </w:r>
      <w:r w:rsidR="00A71B54" w:rsidRPr="00C24DD4">
        <w:rPr>
          <w:rFonts w:asciiTheme="minorHAnsi" w:hAnsiTheme="minorHAnsi" w:cstheme="minorHAnsi"/>
          <w:sz w:val="20"/>
          <w:szCs w:val="20"/>
        </w:rPr>
        <w:t xml:space="preserve"> </w:t>
      </w:r>
      <w:r w:rsidR="0026504F" w:rsidRPr="00C24DD4">
        <w:rPr>
          <w:rFonts w:asciiTheme="minorHAnsi" w:hAnsiTheme="minorHAnsi" w:cstheme="minorHAnsi"/>
          <w:b/>
          <w:bCs/>
          <w:sz w:val="20"/>
          <w:szCs w:val="20"/>
          <w:u w:val="single"/>
        </w:rPr>
        <w:t>15 giorni solari</w:t>
      </w:r>
      <w:r w:rsidR="0026504F" w:rsidRPr="00C24DD4">
        <w:rPr>
          <w:rFonts w:asciiTheme="minorHAnsi" w:hAnsiTheme="minorHAnsi" w:cstheme="minorHAnsi"/>
          <w:bCs/>
          <w:sz w:val="20"/>
          <w:szCs w:val="20"/>
          <w:u w:val="single"/>
        </w:rPr>
        <w:t xml:space="preserve"> dalla data odierna</w:t>
      </w:r>
      <w:r w:rsidR="0026504F" w:rsidRPr="00C24DD4">
        <w:rPr>
          <w:rFonts w:asciiTheme="minorHAnsi" w:hAnsiTheme="minorHAnsi" w:cstheme="minorHAnsi"/>
          <w:bCs/>
          <w:color w:val="FF0000"/>
          <w:sz w:val="20"/>
          <w:szCs w:val="20"/>
        </w:rPr>
        <w:t xml:space="preserve"> </w:t>
      </w:r>
      <w:r w:rsidR="0026504F" w:rsidRPr="00C24DD4">
        <w:rPr>
          <w:rFonts w:asciiTheme="minorHAnsi" w:hAnsiTheme="minorHAnsi" w:cstheme="minorHAnsi"/>
          <w:bCs/>
          <w:sz w:val="20"/>
          <w:szCs w:val="20"/>
        </w:rPr>
        <w:t xml:space="preserve">all’indirizzo PEC </w:t>
      </w:r>
      <w:r w:rsidR="00C9467E" w:rsidRPr="00C24DD4">
        <w:rPr>
          <w:rFonts w:asciiTheme="minorHAnsi" w:hAnsiTheme="minorHAnsi" w:cstheme="minorHAnsi"/>
          <w:bCs/>
          <w:sz w:val="20"/>
          <w:szCs w:val="20"/>
        </w:rPr>
        <w:t>“</w:t>
      </w:r>
      <w:hyperlink r:id="rId9" w:history="1">
        <w:r w:rsidR="00C9467E" w:rsidRPr="00C24DD4">
          <w:rPr>
            <w:rStyle w:val="Collegamentoipertestuale"/>
            <w:rFonts w:asciiTheme="minorHAnsi" w:hAnsiTheme="minorHAnsi" w:cstheme="minorHAnsi"/>
            <w:sz w:val="20"/>
            <w:szCs w:val="20"/>
            <w:lang w:val="en-US"/>
          </w:rPr>
          <w:t>ictconsip@postacert.consip.it</w:t>
        </w:r>
      </w:hyperlink>
      <w:r w:rsidR="00C9467E" w:rsidRPr="00C24DD4">
        <w:rPr>
          <w:rFonts w:asciiTheme="minorHAnsi" w:hAnsiTheme="minorHAnsi" w:cstheme="minorHAnsi"/>
          <w:sz w:val="20"/>
          <w:szCs w:val="20"/>
          <w:lang w:val="en-US"/>
        </w:rPr>
        <w:t>”,</w:t>
      </w:r>
      <w:r w:rsidR="00460273" w:rsidRPr="00C24DD4">
        <w:rPr>
          <w:rFonts w:asciiTheme="minorHAnsi" w:hAnsiTheme="minorHAnsi" w:cstheme="minorHAnsi"/>
          <w:sz w:val="20"/>
          <w:szCs w:val="20"/>
          <w:lang w:val="en-US"/>
        </w:rPr>
        <w:t xml:space="preserve"> </w:t>
      </w:r>
      <w:r w:rsidR="00C9467E" w:rsidRPr="00C24DD4">
        <w:rPr>
          <w:rFonts w:asciiTheme="minorHAnsi" w:hAnsiTheme="minorHAnsi" w:cstheme="minorHAnsi"/>
          <w:sz w:val="20"/>
          <w:szCs w:val="20"/>
          <w:lang w:val="en-US"/>
        </w:rPr>
        <w:t>s</w:t>
      </w:r>
      <w:r w:rsidR="009D2FBF" w:rsidRPr="00C24DD4">
        <w:rPr>
          <w:rFonts w:asciiTheme="minorHAnsi" w:hAnsiTheme="minorHAnsi" w:cstheme="minorHAnsi"/>
          <w:sz w:val="20"/>
          <w:szCs w:val="20"/>
        </w:rPr>
        <w:t>pecificando</w:t>
      </w:r>
      <w:r w:rsidR="00C9467E" w:rsidRPr="00C24DD4">
        <w:rPr>
          <w:rFonts w:asciiTheme="minorHAnsi" w:hAnsiTheme="minorHAnsi" w:cstheme="minorHAnsi"/>
          <w:sz w:val="20"/>
          <w:szCs w:val="20"/>
        </w:rPr>
        <w:t>,</w:t>
      </w:r>
      <w:r w:rsidR="009D2FBF" w:rsidRPr="00C24DD4">
        <w:rPr>
          <w:rFonts w:asciiTheme="minorHAnsi" w:hAnsiTheme="minorHAnsi" w:cstheme="minorHAnsi"/>
          <w:sz w:val="20"/>
          <w:szCs w:val="20"/>
        </w:rPr>
        <w:t xml:space="preserve"> nell’</w:t>
      </w:r>
      <w:r w:rsidR="002B08C5" w:rsidRPr="00C24DD4">
        <w:rPr>
          <w:rFonts w:asciiTheme="minorHAnsi" w:hAnsiTheme="minorHAnsi" w:cstheme="minorHAnsi"/>
          <w:sz w:val="20"/>
          <w:szCs w:val="20"/>
        </w:rPr>
        <w:t>oggetto della e-mail: “</w:t>
      </w:r>
      <w:r w:rsidR="00143BE2" w:rsidRPr="00C24DD4">
        <w:rPr>
          <w:rFonts w:asciiTheme="minorHAnsi" w:hAnsiTheme="minorHAnsi" w:cstheme="minorHAnsi"/>
          <w:b/>
          <w:sz w:val="20"/>
          <w:szCs w:val="20"/>
        </w:rPr>
        <w:t>Consultazione di mercato finalizzata all’acquisizione di prodotti e servizi IBM per Sogei</w:t>
      </w:r>
      <w:r w:rsidR="0011099A" w:rsidRPr="00C24DD4">
        <w:rPr>
          <w:rFonts w:asciiTheme="minorHAnsi" w:hAnsiTheme="minorHAnsi" w:cstheme="minorHAnsi"/>
          <w:sz w:val="20"/>
          <w:szCs w:val="20"/>
        </w:rPr>
        <w:t>”</w:t>
      </w:r>
      <w:r w:rsidR="0062696B" w:rsidRPr="00C24DD4">
        <w:rPr>
          <w:rFonts w:asciiTheme="minorHAnsi" w:hAnsiTheme="minorHAnsi" w:cstheme="minorHAnsi"/>
          <w:sz w:val="20"/>
          <w:szCs w:val="20"/>
        </w:rPr>
        <w:t>.</w:t>
      </w:r>
    </w:p>
    <w:p w:rsidR="000B4D07" w:rsidRPr="00C24DD4" w:rsidRDefault="000B4D07"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Tutte le informazioni da Voi fornite con il present</w:t>
      </w:r>
      <w:r w:rsidR="001F72BB" w:rsidRPr="00C24DD4">
        <w:rPr>
          <w:rFonts w:asciiTheme="minorHAnsi" w:hAnsiTheme="minorHAnsi" w:cstheme="minorHAnsi"/>
          <w:sz w:val="20"/>
          <w:szCs w:val="20"/>
        </w:rPr>
        <w:t xml:space="preserve">e documento saranno utilizzate </w:t>
      </w:r>
      <w:r w:rsidRPr="00C24DD4">
        <w:rPr>
          <w:rFonts w:asciiTheme="minorHAnsi" w:hAnsiTheme="minorHAnsi" w:cstheme="minorHAnsi"/>
          <w:sz w:val="20"/>
          <w:szCs w:val="20"/>
        </w:rPr>
        <w:t>ai soli fini dello sviluppo dell’iniziativa in oggetto.</w:t>
      </w:r>
    </w:p>
    <w:p w:rsidR="000B4D07" w:rsidRPr="00C24DD4" w:rsidRDefault="000B4D07"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Consip S.p.A., salvo quanto di seguito previsto in materia di trattamento dei dati personali, si impegna a non divulgare a terzi le informazioni raccolte con il presente documento.</w:t>
      </w:r>
    </w:p>
    <w:p w:rsidR="000B4D07" w:rsidRPr="00C24DD4" w:rsidRDefault="000B4D07" w:rsidP="0077786E">
      <w:pPr>
        <w:pStyle w:val="Titolo1"/>
        <w:numPr>
          <w:ilvl w:val="0"/>
          <w:numId w:val="0"/>
        </w:numPr>
        <w:spacing w:line="276" w:lineRule="auto"/>
        <w:rPr>
          <w:rFonts w:asciiTheme="minorHAnsi" w:hAnsiTheme="minorHAnsi" w:cstheme="minorHAnsi"/>
          <w:sz w:val="24"/>
        </w:rPr>
      </w:pPr>
      <w:r w:rsidRPr="00C24DD4">
        <w:rPr>
          <w:rFonts w:asciiTheme="minorHAnsi" w:hAnsiTheme="minorHAnsi" w:cstheme="minorHAnsi"/>
          <w:sz w:val="20"/>
          <w:szCs w:val="20"/>
        </w:rPr>
        <w:t>L’invio del documento al nostro recapito implica il consenso al trattamento dei dati forniti.</w:t>
      </w:r>
      <w:r w:rsidRPr="00C24DD4">
        <w:rPr>
          <w:rFonts w:asciiTheme="minorHAnsi" w:hAnsiTheme="minorHAnsi" w:cstheme="minorHAnsi"/>
          <w:sz w:val="20"/>
          <w:szCs w:val="20"/>
        </w:rPr>
        <w:br w:type="page"/>
      </w:r>
      <w:r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rsidR="000B4D07" w:rsidRPr="00C24DD4" w:rsidRDefault="000B4D07">
      <w:pPr>
        <w:pStyle w:val="Titolo1"/>
        <w:numPr>
          <w:ilvl w:val="0"/>
          <w:numId w:val="0"/>
        </w:numPr>
        <w:jc w:val="both"/>
        <w:rPr>
          <w:rFonts w:asciiTheme="minorHAnsi" w:hAnsiTheme="minorHAnsi" w:cstheme="minorHAnsi"/>
          <w:i/>
          <w:sz w:val="20"/>
          <w:szCs w:val="20"/>
        </w:rPr>
      </w:pPr>
    </w:p>
    <w:p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C24DD4" w:rsidRDefault="009D7881" w:rsidP="00444A91">
      <w:pPr>
        <w:spacing w:line="276" w:lineRule="auto"/>
        <w:jc w:val="both"/>
        <w:rPr>
          <w:rFonts w:asciiTheme="minorHAnsi" w:hAnsiTheme="minorHAnsi" w:cstheme="minorHAnsi"/>
          <w:sz w:val="20"/>
          <w:szCs w:val="20"/>
        </w:rPr>
      </w:pP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C24DD4" w:rsidRDefault="009D7881" w:rsidP="00444A91">
      <w:pPr>
        <w:spacing w:line="276" w:lineRule="auto"/>
        <w:jc w:val="both"/>
        <w:rPr>
          <w:rFonts w:asciiTheme="minorHAnsi" w:hAnsiTheme="minorHAnsi" w:cstheme="minorHAnsi"/>
          <w:sz w:val="20"/>
          <w:szCs w:val="20"/>
        </w:rPr>
      </w:pP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C24DD4" w:rsidRDefault="009D7881" w:rsidP="00444A91">
      <w:pPr>
        <w:spacing w:line="276" w:lineRule="auto"/>
        <w:jc w:val="both"/>
        <w:rPr>
          <w:rFonts w:asciiTheme="minorHAnsi" w:hAnsiTheme="minorHAnsi" w:cstheme="minorHAnsi"/>
          <w:sz w:val="20"/>
          <w:szCs w:val="20"/>
        </w:rPr>
      </w:pP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rsidR="009D7881" w:rsidRPr="00C24DD4" w:rsidRDefault="009D7881" w:rsidP="00444A91">
      <w:pPr>
        <w:spacing w:line="276" w:lineRule="auto"/>
        <w:jc w:val="both"/>
        <w:rPr>
          <w:rFonts w:asciiTheme="minorHAnsi" w:hAnsiTheme="minorHAnsi" w:cstheme="minorHAnsi"/>
          <w:sz w:val="20"/>
          <w:szCs w:val="20"/>
        </w:rPr>
      </w:pPr>
    </w:p>
    <w:p w:rsidR="009D2FBF"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1623A3" w:rsidRPr="00C24DD4">
        <w:rPr>
          <w:rFonts w:asciiTheme="minorHAnsi" w:hAnsiTheme="minorHAnsi" w:cstheme="minorHAnsi"/>
          <w:sz w:val="20"/>
          <w:szCs w:val="20"/>
        </w:rPr>
        <w:t>abile della protezione dei dati</w:t>
      </w:r>
      <w:r w:rsidRPr="00C24DD4">
        <w:rPr>
          <w:rFonts w:asciiTheme="minorHAnsi" w:hAnsiTheme="minorHAnsi" w:cstheme="minorHAnsi"/>
          <w:sz w:val="20"/>
          <w:szCs w:val="20"/>
        </w:rPr>
        <w:t xml:space="preserve">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rsidR="00B362F5" w:rsidRPr="00C24DD4" w:rsidRDefault="00B362F5">
      <w:pPr>
        <w:rPr>
          <w:rFonts w:asciiTheme="minorHAnsi" w:hAnsiTheme="minorHAnsi" w:cstheme="minorHAnsi"/>
          <w:b/>
        </w:rPr>
      </w:pPr>
      <w:r w:rsidRPr="00C24DD4">
        <w:rPr>
          <w:rFonts w:asciiTheme="minorHAnsi" w:hAnsiTheme="minorHAnsi" w:cstheme="minorHAnsi"/>
        </w:rPr>
        <w:br w:type="page"/>
      </w:r>
    </w:p>
    <w:p w:rsidR="000B4D07" w:rsidRPr="00C24DD4" w:rsidRDefault="009D2FBF">
      <w:pPr>
        <w:pStyle w:val="Titolo1"/>
        <w:numPr>
          <w:ilvl w:val="0"/>
          <w:numId w:val="0"/>
        </w:numPr>
        <w:rPr>
          <w:rFonts w:asciiTheme="minorHAnsi" w:hAnsiTheme="minorHAnsi" w:cstheme="minorHAnsi"/>
          <w:szCs w:val="22"/>
        </w:rPr>
      </w:pPr>
      <w:r w:rsidRPr="00C24DD4">
        <w:rPr>
          <w:rFonts w:asciiTheme="minorHAnsi" w:hAnsiTheme="minorHAnsi" w:cstheme="minorHAnsi"/>
          <w:szCs w:val="22"/>
        </w:rPr>
        <w:lastRenderedPageBreak/>
        <w:t>Oggetto</w:t>
      </w:r>
      <w:r w:rsidR="000B4D07" w:rsidRPr="00C24DD4">
        <w:rPr>
          <w:rFonts w:asciiTheme="minorHAnsi" w:hAnsiTheme="minorHAnsi" w:cstheme="minorHAnsi"/>
          <w:szCs w:val="22"/>
        </w:rPr>
        <w:t xml:space="preserve"> dell’iniziativa</w:t>
      </w:r>
    </w:p>
    <w:p w:rsidR="0006511F" w:rsidRPr="00C24DD4" w:rsidRDefault="0006511F" w:rsidP="0006511F">
      <w:pPr>
        <w:pStyle w:val="Titolo1"/>
        <w:numPr>
          <w:ilvl w:val="0"/>
          <w:numId w:val="0"/>
        </w:numPr>
        <w:spacing w:line="360" w:lineRule="auto"/>
        <w:rPr>
          <w:rFonts w:asciiTheme="minorHAnsi" w:hAnsiTheme="minorHAnsi" w:cstheme="minorHAnsi"/>
          <w:b w:val="0"/>
          <w:sz w:val="20"/>
          <w:szCs w:val="20"/>
        </w:rPr>
      </w:pPr>
      <w:r w:rsidRPr="00C24DD4">
        <w:rPr>
          <w:rFonts w:asciiTheme="minorHAnsi" w:hAnsiTheme="minorHAnsi" w:cstheme="minorHAnsi"/>
          <w:b w:val="0"/>
          <w:sz w:val="20"/>
          <w:szCs w:val="20"/>
        </w:rPr>
        <w:t xml:space="preserve">La Committente ha espresso il fabbisogno di approvvigionarsi di: </w:t>
      </w:r>
    </w:p>
    <w:p w:rsidR="00704266" w:rsidRPr="00C24DD4" w:rsidRDefault="00704266" w:rsidP="00C24DD4">
      <w:pPr>
        <w:pStyle w:val="Testonormale"/>
        <w:numPr>
          <w:ilvl w:val="0"/>
          <w:numId w:val="19"/>
        </w:numPr>
        <w:spacing w:line="280" w:lineRule="exact"/>
        <w:ind w:left="425" w:hanging="357"/>
        <w:jc w:val="both"/>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licenze d’uso software ICA S/390 a tempo determinato a canone contenute nel listino prodotti software IBM, comprensive del servizio di manutenzione, per 36 (trentasei) mesi decorrente dall’1 gennaio 2022;</w:t>
      </w:r>
    </w:p>
    <w:p w:rsidR="00704266" w:rsidRPr="00C24DD4" w:rsidRDefault="00704266" w:rsidP="00C24DD4">
      <w:pPr>
        <w:pStyle w:val="Testonormale"/>
        <w:numPr>
          <w:ilvl w:val="0"/>
          <w:numId w:val="19"/>
        </w:numPr>
        <w:spacing w:line="280" w:lineRule="exact"/>
        <w:ind w:left="425" w:hanging="357"/>
        <w:jc w:val="both"/>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licenze del listino IPLA S/390 comprensive del servizio di manutenzione per 12 mesi;</w:t>
      </w:r>
    </w:p>
    <w:p w:rsidR="00704266" w:rsidRPr="00C24DD4" w:rsidRDefault="00704266" w:rsidP="00C24DD4">
      <w:pPr>
        <w:pStyle w:val="Testonormale"/>
        <w:numPr>
          <w:ilvl w:val="0"/>
          <w:numId w:val="19"/>
        </w:numPr>
        <w:spacing w:line="280" w:lineRule="exact"/>
        <w:ind w:left="425" w:hanging="357"/>
        <w:jc w:val="both"/>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licenze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 xml:space="preserve"> in modalità AYCE (</w:t>
      </w:r>
      <w:proofErr w:type="spellStart"/>
      <w:r w:rsidRPr="00C24DD4">
        <w:rPr>
          <w:rFonts w:asciiTheme="minorHAnsi" w:eastAsia="Times New Roman" w:hAnsiTheme="minorHAnsi" w:cstheme="minorHAnsi"/>
          <w:sz w:val="20"/>
          <w:szCs w:val="20"/>
          <w:lang w:eastAsia="it-IT"/>
        </w:rPr>
        <w:t>all</w:t>
      </w:r>
      <w:proofErr w:type="spellEnd"/>
      <w:r w:rsidRPr="00C24DD4">
        <w:rPr>
          <w:rFonts w:asciiTheme="minorHAnsi" w:eastAsia="Times New Roman" w:hAnsiTheme="minorHAnsi" w:cstheme="minorHAnsi"/>
          <w:sz w:val="20"/>
          <w:szCs w:val="20"/>
          <w:lang w:eastAsia="it-IT"/>
        </w:rPr>
        <w:t xml:space="preserve"> </w:t>
      </w:r>
      <w:proofErr w:type="spellStart"/>
      <w:r w:rsidRPr="00C24DD4">
        <w:rPr>
          <w:rFonts w:asciiTheme="minorHAnsi" w:eastAsia="Times New Roman" w:hAnsiTheme="minorHAnsi" w:cstheme="minorHAnsi"/>
          <w:sz w:val="20"/>
          <w:szCs w:val="20"/>
          <w:lang w:eastAsia="it-IT"/>
        </w:rPr>
        <w:t>you</w:t>
      </w:r>
      <w:proofErr w:type="spellEnd"/>
      <w:r w:rsidRPr="00C24DD4">
        <w:rPr>
          <w:rFonts w:asciiTheme="minorHAnsi" w:eastAsia="Times New Roman" w:hAnsiTheme="minorHAnsi" w:cstheme="minorHAnsi"/>
          <w:sz w:val="20"/>
          <w:szCs w:val="20"/>
          <w:lang w:eastAsia="it-IT"/>
        </w:rPr>
        <w:t xml:space="preserve"> can </w:t>
      </w:r>
      <w:proofErr w:type="spellStart"/>
      <w:r w:rsidRPr="00C24DD4">
        <w:rPr>
          <w:rFonts w:asciiTheme="minorHAnsi" w:eastAsia="Times New Roman" w:hAnsiTheme="minorHAnsi" w:cstheme="minorHAnsi"/>
          <w:sz w:val="20"/>
          <w:szCs w:val="20"/>
          <w:lang w:eastAsia="it-IT"/>
        </w:rPr>
        <w:t>eat</w:t>
      </w:r>
      <w:proofErr w:type="spellEnd"/>
      <w:r w:rsidRPr="00C24DD4">
        <w:rPr>
          <w:rFonts w:asciiTheme="minorHAnsi" w:eastAsia="Times New Roman" w:hAnsiTheme="minorHAnsi" w:cstheme="minorHAnsi"/>
          <w:sz w:val="20"/>
          <w:szCs w:val="20"/>
          <w:lang w:eastAsia="it-IT"/>
        </w:rPr>
        <w:t>) comprensive del servizio di manutenzione per tutta la durata contrattuale;</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proofErr w:type="spellStart"/>
      <w:r w:rsidRPr="00C24DD4">
        <w:rPr>
          <w:rFonts w:asciiTheme="minorHAnsi" w:eastAsia="Times New Roman" w:hAnsiTheme="minorHAnsi" w:cstheme="minorHAnsi"/>
          <w:sz w:val="20"/>
          <w:szCs w:val="20"/>
          <w:lang w:eastAsia="it-IT"/>
        </w:rPr>
        <w:t>appliance</w:t>
      </w:r>
      <w:proofErr w:type="spellEnd"/>
      <w:r w:rsidRPr="00C24DD4">
        <w:rPr>
          <w:rFonts w:asciiTheme="minorHAnsi" w:eastAsia="Times New Roman" w:hAnsiTheme="minorHAnsi" w:cstheme="minorHAnsi"/>
          <w:sz w:val="20"/>
          <w:szCs w:val="20"/>
          <w:lang w:eastAsia="it-IT"/>
        </w:rPr>
        <w:t xml:space="preserve">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 xml:space="preserve"> comprensive del servizio di manutenzione per 12 mesi;</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licenze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 xml:space="preserve"> comprensive del servizio di manutenzione per 12 mesi; </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rinnovo del servizio di manutenzione delle licenze del listino IPLA S/390;</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rinnovo del servizio di manutenzione delle licenze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rinnovo del servizio di manutenzione per le </w:t>
      </w:r>
      <w:proofErr w:type="spellStart"/>
      <w:r w:rsidRPr="00C24DD4">
        <w:rPr>
          <w:rFonts w:asciiTheme="minorHAnsi" w:eastAsia="Times New Roman" w:hAnsiTheme="minorHAnsi" w:cstheme="minorHAnsi"/>
          <w:sz w:val="20"/>
          <w:szCs w:val="20"/>
          <w:lang w:eastAsia="it-IT"/>
        </w:rPr>
        <w:t>appliance</w:t>
      </w:r>
      <w:proofErr w:type="spellEnd"/>
      <w:r w:rsidRPr="00C24DD4">
        <w:rPr>
          <w:rFonts w:asciiTheme="minorHAnsi" w:eastAsia="Times New Roman" w:hAnsiTheme="minorHAnsi" w:cstheme="minorHAnsi"/>
          <w:sz w:val="20"/>
          <w:szCs w:val="20"/>
          <w:lang w:eastAsia="it-IT"/>
        </w:rPr>
        <w:t xml:space="preserve">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sottoscrizioni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 xml:space="preserve"> comprensive del servizio di manutenzione per 36 mesi;</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servizi professionali</w:t>
      </w:r>
      <w:r w:rsidR="007803D0" w:rsidRPr="00C24DD4">
        <w:rPr>
          <w:rFonts w:asciiTheme="minorHAnsi" w:eastAsia="Times New Roman" w:hAnsiTheme="minorHAnsi" w:cstheme="minorHAnsi"/>
          <w:sz w:val="20"/>
          <w:szCs w:val="20"/>
          <w:lang w:eastAsia="it-IT"/>
        </w:rPr>
        <w:t>.</w:t>
      </w:r>
    </w:p>
    <w:p w:rsidR="0006511F" w:rsidRPr="00C24DD4" w:rsidRDefault="0006511F" w:rsidP="0006511F">
      <w:pPr>
        <w:spacing w:before="356" w:after="118" w:line="365" w:lineRule="exact"/>
        <w:ind w:left="144" w:right="144"/>
        <w:jc w:val="both"/>
        <w:textAlignment w:val="baseline"/>
        <w:rPr>
          <w:rFonts w:asciiTheme="minorHAnsi" w:eastAsia="Verdana" w:hAnsiTheme="minorHAnsi" w:cstheme="minorHAnsi"/>
          <w:color w:val="000000"/>
          <w:sz w:val="20"/>
          <w:szCs w:val="20"/>
          <w:u w:val="single"/>
        </w:rPr>
      </w:pPr>
      <w:r w:rsidRPr="00C24DD4">
        <w:rPr>
          <w:rFonts w:asciiTheme="minorHAnsi" w:eastAsia="Verdana" w:hAnsiTheme="minorHAnsi" w:cstheme="minorHAnsi"/>
          <w:color w:val="000000"/>
          <w:sz w:val="20"/>
          <w:szCs w:val="20"/>
          <w:u w:val="single"/>
        </w:rPr>
        <w:t xml:space="preserve">Si precisa che per il servizio di manutenzione, sia per le nuove licenze che per quelle già in uso, sono necessari specifici livelli di servizio sia per la presa in carico che per i tempi di risoluzione, come di seguito riportato: </w:t>
      </w:r>
    </w:p>
    <w:p w:rsidR="0006511F" w:rsidRPr="00C24DD4" w:rsidRDefault="0006511F" w:rsidP="0006511F">
      <w:pPr>
        <w:spacing w:before="2" w:line="20" w:lineRule="exact"/>
        <w:rPr>
          <w:rFonts w:asciiTheme="minorHAnsi" w:hAnsiTheme="minorHAnsi" w:cstheme="minorHAnsi"/>
          <w:sz w:val="20"/>
          <w:szCs w:val="20"/>
        </w:rPr>
      </w:pPr>
    </w:p>
    <w:tbl>
      <w:tblPr>
        <w:tblW w:w="0" w:type="auto"/>
        <w:tblInd w:w="22" w:type="dxa"/>
        <w:tblLayout w:type="fixed"/>
        <w:tblCellMar>
          <w:left w:w="0" w:type="dxa"/>
          <w:right w:w="0" w:type="dxa"/>
        </w:tblCellMar>
        <w:tblLook w:val="0000" w:firstRow="0" w:lastRow="0" w:firstColumn="0" w:lastColumn="0" w:noHBand="0" w:noVBand="0"/>
      </w:tblPr>
      <w:tblGrid>
        <w:gridCol w:w="2164"/>
        <w:gridCol w:w="2228"/>
        <w:gridCol w:w="4381"/>
      </w:tblGrid>
      <w:tr w:rsidR="0006511F" w:rsidRPr="00C24DD4" w:rsidTr="00963AA9">
        <w:trPr>
          <w:trHeight w:hRule="exact" w:val="932"/>
        </w:trPr>
        <w:tc>
          <w:tcPr>
            <w:tcW w:w="2164" w:type="dxa"/>
            <w:tcBorders>
              <w:top w:val="single" w:sz="8" w:space="0" w:color="000000"/>
              <w:left w:val="single" w:sz="8" w:space="0" w:color="000000"/>
              <w:bottom w:val="single" w:sz="8" w:space="0" w:color="000000"/>
              <w:right w:val="single" w:sz="8" w:space="0" w:color="000000"/>
            </w:tcBorders>
            <w:vAlign w:val="center"/>
          </w:tcPr>
          <w:p w:rsidR="0006511F" w:rsidRPr="00C24DD4" w:rsidRDefault="0006511F" w:rsidP="00963AA9">
            <w:pPr>
              <w:spacing w:before="241" w:line="202" w:lineRule="exact"/>
              <w:ind w:right="548"/>
              <w:jc w:val="right"/>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Gravità</w:t>
            </w:r>
          </w:p>
          <w:p w:rsidR="0006511F" w:rsidRPr="00C24DD4" w:rsidRDefault="0006511F" w:rsidP="00963AA9">
            <w:pPr>
              <w:spacing w:before="91" w:after="189" w:line="202" w:lineRule="exact"/>
              <w:ind w:left="504"/>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malfunzionamento</w:t>
            </w:r>
          </w:p>
        </w:tc>
        <w:tc>
          <w:tcPr>
            <w:tcW w:w="2228"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line="295" w:lineRule="exact"/>
              <w:ind w:left="360"/>
              <w:jc w:val="center"/>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 xml:space="preserve">Tempo di presa in </w:t>
            </w:r>
            <w:r w:rsidRPr="00C24DD4">
              <w:rPr>
                <w:rFonts w:asciiTheme="minorHAnsi" w:eastAsia="Verdana" w:hAnsiTheme="minorHAnsi" w:cstheme="minorHAnsi"/>
                <w:b/>
                <w:color w:val="000000"/>
                <w:sz w:val="20"/>
                <w:szCs w:val="20"/>
              </w:rPr>
              <w:br/>
              <w:t>carico del</w:t>
            </w:r>
          </w:p>
          <w:p w:rsidR="0006511F" w:rsidRPr="00C24DD4" w:rsidRDefault="0006511F" w:rsidP="00963AA9">
            <w:pPr>
              <w:spacing w:before="95" w:after="33" w:line="202" w:lineRule="exact"/>
              <w:ind w:right="220"/>
              <w:jc w:val="right"/>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malfunzionamento</w:t>
            </w:r>
          </w:p>
        </w:tc>
        <w:tc>
          <w:tcPr>
            <w:tcW w:w="4381" w:type="dxa"/>
            <w:tcBorders>
              <w:top w:val="single" w:sz="8" w:space="0" w:color="000000"/>
              <w:left w:val="single" w:sz="8" w:space="0" w:color="000000"/>
              <w:bottom w:val="single" w:sz="8" w:space="0" w:color="000000"/>
              <w:right w:val="single" w:sz="8" w:space="0" w:color="000000"/>
            </w:tcBorders>
            <w:vAlign w:val="center"/>
          </w:tcPr>
          <w:p w:rsidR="0006511F" w:rsidRPr="00C24DD4" w:rsidRDefault="0006511F" w:rsidP="00963AA9">
            <w:pPr>
              <w:spacing w:before="399" w:after="324" w:line="202" w:lineRule="exact"/>
              <w:ind w:right="1199"/>
              <w:jc w:val="right"/>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Tempo di risoluzione</w:t>
            </w:r>
          </w:p>
        </w:tc>
      </w:tr>
      <w:tr w:rsidR="0006511F" w:rsidRPr="00C24DD4" w:rsidTr="00963AA9">
        <w:trPr>
          <w:trHeight w:hRule="exact" w:val="620"/>
        </w:trPr>
        <w:tc>
          <w:tcPr>
            <w:tcW w:w="2164"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67" w:after="336" w:line="209" w:lineRule="exact"/>
              <w:ind w:left="489"/>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Critica</w:t>
            </w:r>
          </w:p>
        </w:tc>
        <w:tc>
          <w:tcPr>
            <w:tcW w:w="2228"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67" w:after="336" w:line="209" w:lineRule="exact"/>
              <w:ind w:left="471"/>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2 ore</w:t>
            </w:r>
          </w:p>
        </w:tc>
        <w:tc>
          <w:tcPr>
            <w:tcW w:w="4381" w:type="dxa"/>
            <w:tcBorders>
              <w:top w:val="single" w:sz="8" w:space="0" w:color="000000"/>
              <w:left w:val="single" w:sz="8" w:space="0" w:color="000000"/>
              <w:bottom w:val="single" w:sz="8" w:space="0" w:color="000000"/>
              <w:right w:val="single" w:sz="8" w:space="0" w:color="000000"/>
            </w:tcBorders>
            <w:vAlign w:val="center"/>
          </w:tcPr>
          <w:p w:rsidR="0006511F" w:rsidRPr="00C24DD4" w:rsidRDefault="0006511F" w:rsidP="00963AA9">
            <w:pPr>
              <w:spacing w:after="26" w:line="293" w:lineRule="exact"/>
              <w:ind w:left="468" w:right="108"/>
              <w:textAlignment w:val="baseline"/>
              <w:rPr>
                <w:rFonts w:asciiTheme="minorHAnsi" w:eastAsia="Verdana" w:hAnsiTheme="minorHAnsi" w:cstheme="minorHAnsi"/>
                <w:color w:val="000000"/>
                <w:spacing w:val="-12"/>
                <w:sz w:val="20"/>
                <w:szCs w:val="20"/>
              </w:rPr>
            </w:pPr>
            <w:r w:rsidRPr="00C24DD4">
              <w:rPr>
                <w:rFonts w:asciiTheme="minorHAnsi" w:eastAsia="Verdana" w:hAnsiTheme="minorHAnsi" w:cstheme="minorHAnsi"/>
                <w:color w:val="000000"/>
                <w:spacing w:val="-12"/>
                <w:sz w:val="20"/>
                <w:szCs w:val="20"/>
              </w:rPr>
              <w:t>entro 2 (due) giorni lavorativi dalla presa in carico del malfunzionamento</w:t>
            </w:r>
          </w:p>
        </w:tc>
      </w:tr>
      <w:tr w:rsidR="0006511F" w:rsidRPr="00C24DD4" w:rsidTr="00963AA9">
        <w:trPr>
          <w:trHeight w:hRule="exact" w:val="622"/>
        </w:trPr>
        <w:tc>
          <w:tcPr>
            <w:tcW w:w="2164"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70" w:after="332" w:line="209" w:lineRule="exact"/>
              <w:ind w:left="489"/>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Alta</w:t>
            </w:r>
          </w:p>
        </w:tc>
        <w:tc>
          <w:tcPr>
            <w:tcW w:w="2228"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70" w:after="332" w:line="209" w:lineRule="exact"/>
              <w:ind w:left="471"/>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4 ore</w:t>
            </w:r>
          </w:p>
        </w:tc>
        <w:tc>
          <w:tcPr>
            <w:tcW w:w="4381" w:type="dxa"/>
            <w:tcBorders>
              <w:top w:val="single" w:sz="8" w:space="0" w:color="000000"/>
              <w:left w:val="single" w:sz="8" w:space="0" w:color="000000"/>
              <w:bottom w:val="single" w:sz="8" w:space="0" w:color="000000"/>
              <w:right w:val="single" w:sz="8" w:space="0" w:color="000000"/>
            </w:tcBorders>
            <w:vAlign w:val="center"/>
          </w:tcPr>
          <w:p w:rsidR="0006511F" w:rsidRPr="00C24DD4" w:rsidRDefault="0006511F" w:rsidP="00963AA9">
            <w:pPr>
              <w:spacing w:after="25" w:line="293" w:lineRule="exact"/>
              <w:ind w:left="468" w:right="108"/>
              <w:textAlignment w:val="baseline"/>
              <w:rPr>
                <w:rFonts w:asciiTheme="minorHAnsi" w:eastAsia="Verdana" w:hAnsiTheme="minorHAnsi" w:cstheme="minorHAnsi"/>
                <w:color w:val="000000"/>
                <w:spacing w:val="-12"/>
                <w:sz w:val="20"/>
                <w:szCs w:val="20"/>
              </w:rPr>
            </w:pPr>
            <w:r w:rsidRPr="00C24DD4">
              <w:rPr>
                <w:rFonts w:asciiTheme="minorHAnsi" w:eastAsia="Verdana" w:hAnsiTheme="minorHAnsi" w:cstheme="minorHAnsi"/>
                <w:color w:val="000000"/>
                <w:spacing w:val="-12"/>
                <w:sz w:val="20"/>
                <w:szCs w:val="20"/>
              </w:rPr>
              <w:t>entro 2 (due) giorni lavorativi dalla presa in carico del malfunzionamento</w:t>
            </w:r>
          </w:p>
        </w:tc>
      </w:tr>
      <w:tr w:rsidR="0006511F" w:rsidRPr="00C24DD4" w:rsidTr="00963AA9">
        <w:trPr>
          <w:trHeight w:hRule="exact" w:val="620"/>
        </w:trPr>
        <w:tc>
          <w:tcPr>
            <w:tcW w:w="2164"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72" w:after="327" w:line="209" w:lineRule="exact"/>
              <w:ind w:left="489"/>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Media</w:t>
            </w:r>
          </w:p>
        </w:tc>
        <w:tc>
          <w:tcPr>
            <w:tcW w:w="2228"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75" w:after="323" w:line="210" w:lineRule="exact"/>
              <w:ind w:left="471"/>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 xml:space="preserve">1 </w:t>
            </w:r>
            <w:r w:rsidRPr="00C24DD4">
              <w:rPr>
                <w:rFonts w:asciiTheme="minorHAnsi" w:eastAsia="Verdana" w:hAnsiTheme="minorHAnsi" w:cstheme="minorHAnsi"/>
                <w:color w:val="000000"/>
                <w:sz w:val="20"/>
                <w:szCs w:val="20"/>
              </w:rPr>
              <w:t>giorno lavorativo</w:t>
            </w:r>
          </w:p>
        </w:tc>
        <w:tc>
          <w:tcPr>
            <w:tcW w:w="4381"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tabs>
                <w:tab w:val="left" w:pos="1008"/>
                <w:tab w:val="left" w:pos="1152"/>
                <w:tab w:val="left" w:pos="1872"/>
                <w:tab w:val="left" w:pos="2376"/>
                <w:tab w:val="left" w:pos="3672"/>
                <w:tab w:val="right" w:pos="4320"/>
              </w:tabs>
              <w:spacing w:before="79" w:line="213" w:lineRule="exact"/>
              <w:ind w:left="504"/>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entro</w:t>
            </w:r>
            <w:r w:rsidRPr="00C24DD4">
              <w:rPr>
                <w:rFonts w:asciiTheme="minorHAnsi" w:eastAsia="Verdana" w:hAnsiTheme="minorHAnsi" w:cstheme="minorHAnsi"/>
                <w:color w:val="000000"/>
                <w:sz w:val="20"/>
                <w:szCs w:val="20"/>
              </w:rPr>
              <w:tab/>
              <w:t>5</w:t>
            </w:r>
            <w:r w:rsidRPr="00C24DD4">
              <w:rPr>
                <w:rFonts w:asciiTheme="minorHAnsi" w:eastAsia="Verdana" w:hAnsiTheme="minorHAnsi" w:cstheme="minorHAnsi"/>
                <w:color w:val="000000"/>
                <w:sz w:val="20"/>
                <w:szCs w:val="20"/>
              </w:rPr>
              <w:tab/>
              <w:t>(cinque)</w:t>
            </w:r>
            <w:r w:rsidRPr="00C24DD4">
              <w:rPr>
                <w:rFonts w:asciiTheme="minorHAnsi" w:eastAsia="Verdana" w:hAnsiTheme="minorHAnsi" w:cstheme="minorHAnsi"/>
                <w:color w:val="000000"/>
                <w:sz w:val="20"/>
                <w:szCs w:val="20"/>
              </w:rPr>
              <w:tab/>
              <w:t>giorni</w:t>
            </w:r>
            <w:r w:rsidRPr="00C24DD4">
              <w:rPr>
                <w:rFonts w:asciiTheme="minorHAnsi" w:eastAsia="Verdana" w:hAnsiTheme="minorHAnsi" w:cstheme="minorHAnsi"/>
                <w:color w:val="000000"/>
                <w:sz w:val="20"/>
                <w:szCs w:val="20"/>
              </w:rPr>
              <w:tab/>
              <w:t>lavorativi dalla</w:t>
            </w:r>
            <w:r w:rsidRPr="00C24DD4">
              <w:rPr>
                <w:rFonts w:asciiTheme="minorHAnsi" w:eastAsia="Verdana" w:hAnsiTheme="minorHAnsi" w:cstheme="minorHAnsi"/>
                <w:color w:val="000000"/>
                <w:sz w:val="20"/>
                <w:szCs w:val="20"/>
              </w:rPr>
              <w:tab/>
              <w:t>presa</w:t>
            </w:r>
            <w:r w:rsidRPr="00C24DD4">
              <w:rPr>
                <w:rFonts w:asciiTheme="minorHAnsi" w:eastAsia="Verdana" w:hAnsiTheme="minorHAnsi" w:cstheme="minorHAnsi"/>
                <w:color w:val="000000"/>
                <w:sz w:val="20"/>
                <w:szCs w:val="20"/>
              </w:rPr>
              <w:tab/>
              <w:t>in</w:t>
            </w:r>
          </w:p>
          <w:p w:rsidR="0006511F" w:rsidRPr="00C24DD4" w:rsidRDefault="0006511F" w:rsidP="00963AA9">
            <w:pPr>
              <w:spacing w:before="84" w:after="23" w:line="209" w:lineRule="exact"/>
              <w:ind w:left="504"/>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carico del malfunzionamento</w:t>
            </w:r>
          </w:p>
        </w:tc>
      </w:tr>
      <w:tr w:rsidR="0006511F" w:rsidRPr="00C24DD4" w:rsidTr="00963AA9">
        <w:trPr>
          <w:trHeight w:hRule="exact" w:val="640"/>
        </w:trPr>
        <w:tc>
          <w:tcPr>
            <w:tcW w:w="2164"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72" w:after="355" w:line="209" w:lineRule="exact"/>
              <w:ind w:left="489"/>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Bassa</w:t>
            </w:r>
          </w:p>
        </w:tc>
        <w:tc>
          <w:tcPr>
            <w:tcW w:w="2228"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spacing w:before="75" w:after="352" w:line="209" w:lineRule="exact"/>
              <w:ind w:left="471"/>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 xml:space="preserve">1 </w:t>
            </w:r>
            <w:r w:rsidRPr="00C24DD4">
              <w:rPr>
                <w:rFonts w:asciiTheme="minorHAnsi" w:eastAsia="Verdana" w:hAnsiTheme="minorHAnsi" w:cstheme="minorHAnsi"/>
                <w:color w:val="000000"/>
                <w:sz w:val="20"/>
                <w:szCs w:val="20"/>
              </w:rPr>
              <w:t>giorno lavorativo</w:t>
            </w:r>
          </w:p>
        </w:tc>
        <w:tc>
          <w:tcPr>
            <w:tcW w:w="4381" w:type="dxa"/>
            <w:tcBorders>
              <w:top w:val="single" w:sz="8" w:space="0" w:color="000000"/>
              <w:left w:val="single" w:sz="8" w:space="0" w:color="000000"/>
              <w:bottom w:val="single" w:sz="8" w:space="0" w:color="000000"/>
              <w:right w:val="single" w:sz="8" w:space="0" w:color="000000"/>
            </w:tcBorders>
          </w:tcPr>
          <w:p w:rsidR="0006511F" w:rsidRPr="00C24DD4" w:rsidRDefault="0006511F" w:rsidP="00963AA9">
            <w:pPr>
              <w:tabs>
                <w:tab w:val="left" w:pos="1008"/>
                <w:tab w:val="left" w:pos="1152"/>
                <w:tab w:val="left" w:pos="1872"/>
                <w:tab w:val="left" w:pos="2376"/>
                <w:tab w:val="left" w:pos="3168"/>
                <w:tab w:val="left" w:pos="3672"/>
                <w:tab w:val="right" w:pos="4320"/>
              </w:tabs>
              <w:spacing w:before="78" w:line="213" w:lineRule="exact"/>
              <w:ind w:left="504"/>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entro</w:t>
            </w:r>
            <w:r w:rsidRPr="00C24DD4">
              <w:rPr>
                <w:rFonts w:asciiTheme="minorHAnsi" w:eastAsia="Verdana" w:hAnsiTheme="minorHAnsi" w:cstheme="minorHAnsi"/>
                <w:color w:val="000000"/>
                <w:sz w:val="20"/>
                <w:szCs w:val="20"/>
              </w:rPr>
              <w:tab/>
              <w:t>5</w:t>
            </w:r>
            <w:r w:rsidRPr="00C24DD4">
              <w:rPr>
                <w:rFonts w:asciiTheme="minorHAnsi" w:eastAsia="Verdana" w:hAnsiTheme="minorHAnsi" w:cstheme="minorHAnsi"/>
                <w:color w:val="000000"/>
                <w:sz w:val="20"/>
                <w:szCs w:val="20"/>
              </w:rPr>
              <w:tab/>
              <w:t>(cinque)</w:t>
            </w:r>
            <w:r w:rsidRPr="00C24DD4">
              <w:rPr>
                <w:rFonts w:asciiTheme="minorHAnsi" w:eastAsia="Verdana" w:hAnsiTheme="minorHAnsi" w:cstheme="minorHAnsi"/>
                <w:color w:val="000000"/>
                <w:sz w:val="20"/>
                <w:szCs w:val="20"/>
              </w:rPr>
              <w:tab/>
              <w:t>giorni</w:t>
            </w:r>
            <w:r w:rsidRPr="00C24DD4">
              <w:rPr>
                <w:rFonts w:asciiTheme="minorHAnsi" w:eastAsia="Verdana" w:hAnsiTheme="minorHAnsi" w:cstheme="minorHAnsi"/>
                <w:color w:val="000000"/>
                <w:sz w:val="20"/>
                <w:szCs w:val="20"/>
              </w:rPr>
              <w:tab/>
              <w:t>lavorativi</w:t>
            </w:r>
            <w:r w:rsidRPr="00C24DD4">
              <w:rPr>
                <w:rFonts w:asciiTheme="minorHAnsi" w:eastAsia="Verdana" w:hAnsiTheme="minorHAnsi" w:cstheme="minorHAnsi"/>
                <w:color w:val="000000"/>
                <w:sz w:val="20"/>
                <w:szCs w:val="20"/>
              </w:rPr>
              <w:tab/>
              <w:t>dalla</w:t>
            </w:r>
            <w:r w:rsidRPr="00C24DD4">
              <w:rPr>
                <w:rFonts w:asciiTheme="minorHAnsi" w:eastAsia="Verdana" w:hAnsiTheme="minorHAnsi" w:cstheme="minorHAnsi"/>
                <w:color w:val="000000"/>
                <w:sz w:val="20"/>
                <w:szCs w:val="20"/>
              </w:rPr>
              <w:tab/>
              <w:t>presa</w:t>
            </w:r>
            <w:r w:rsidRPr="00C24DD4">
              <w:rPr>
                <w:rFonts w:asciiTheme="minorHAnsi" w:eastAsia="Verdana" w:hAnsiTheme="minorHAnsi" w:cstheme="minorHAnsi"/>
                <w:color w:val="000000"/>
                <w:sz w:val="20"/>
                <w:szCs w:val="20"/>
              </w:rPr>
              <w:tab/>
              <w:t>in</w:t>
            </w:r>
          </w:p>
          <w:p w:rsidR="0006511F" w:rsidRPr="00C24DD4" w:rsidRDefault="0006511F" w:rsidP="00963AA9">
            <w:pPr>
              <w:spacing w:before="89" w:after="47" w:line="209" w:lineRule="exact"/>
              <w:ind w:left="504"/>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carico del malfunzionamento</w:t>
            </w:r>
          </w:p>
        </w:tc>
      </w:tr>
    </w:tbl>
    <w:p w:rsidR="0006511F" w:rsidRPr="00C24DD4" w:rsidRDefault="0006511F" w:rsidP="0006511F">
      <w:pPr>
        <w:spacing w:after="364" w:line="20" w:lineRule="exact"/>
        <w:rPr>
          <w:rFonts w:asciiTheme="minorHAnsi" w:hAnsiTheme="minorHAnsi" w:cstheme="minorHAnsi"/>
          <w:sz w:val="20"/>
          <w:szCs w:val="20"/>
        </w:rPr>
      </w:pPr>
    </w:p>
    <w:p w:rsidR="0006511F" w:rsidRPr="00C24DD4" w:rsidRDefault="0006511F" w:rsidP="0006511F">
      <w:pPr>
        <w:spacing w:before="356" w:after="118" w:line="365" w:lineRule="exact"/>
        <w:ind w:left="144" w:right="144"/>
        <w:jc w:val="both"/>
        <w:textAlignment w:val="baseline"/>
        <w:rPr>
          <w:rFonts w:asciiTheme="minorHAnsi" w:eastAsia="Verdana" w:hAnsiTheme="minorHAnsi" w:cstheme="minorHAnsi"/>
          <w:color w:val="000000"/>
          <w:sz w:val="20"/>
          <w:szCs w:val="20"/>
          <w:u w:val="single"/>
        </w:rPr>
      </w:pPr>
      <w:r w:rsidRPr="00C24DD4">
        <w:rPr>
          <w:rFonts w:asciiTheme="minorHAnsi" w:eastAsia="Verdana" w:hAnsiTheme="minorHAnsi" w:cstheme="minorHAnsi"/>
          <w:color w:val="000000"/>
          <w:sz w:val="20"/>
          <w:szCs w:val="20"/>
        </w:rPr>
        <w:t xml:space="preserve">Ai fini del rispetto dei precedenti termini è ammessa anche una </w:t>
      </w:r>
      <w:proofErr w:type="spellStart"/>
      <w:r w:rsidRPr="00C24DD4">
        <w:rPr>
          <w:rFonts w:asciiTheme="minorHAnsi" w:eastAsia="Verdana" w:hAnsiTheme="minorHAnsi" w:cstheme="minorHAnsi"/>
          <w:color w:val="000000"/>
          <w:sz w:val="20"/>
          <w:szCs w:val="20"/>
        </w:rPr>
        <w:t>fix</w:t>
      </w:r>
      <w:proofErr w:type="spellEnd"/>
      <w:r w:rsidRPr="00C24DD4">
        <w:rPr>
          <w:rFonts w:asciiTheme="minorHAnsi" w:eastAsia="Verdana" w:hAnsiTheme="minorHAnsi" w:cstheme="minorHAnsi"/>
          <w:color w:val="000000"/>
          <w:sz w:val="20"/>
          <w:szCs w:val="20"/>
        </w:rPr>
        <w:t xml:space="preserve"> temporanea, un </w:t>
      </w:r>
      <w:proofErr w:type="spellStart"/>
      <w:r w:rsidRPr="00C24DD4">
        <w:rPr>
          <w:rFonts w:asciiTheme="minorHAnsi" w:eastAsia="Verdana" w:hAnsiTheme="minorHAnsi" w:cstheme="minorHAnsi"/>
          <w:color w:val="000000"/>
          <w:sz w:val="20"/>
          <w:szCs w:val="20"/>
        </w:rPr>
        <w:t>workaround</w:t>
      </w:r>
      <w:proofErr w:type="spellEnd"/>
      <w:r w:rsidRPr="00C24DD4">
        <w:rPr>
          <w:rFonts w:asciiTheme="minorHAnsi" w:eastAsia="Verdana" w:hAnsiTheme="minorHAnsi" w:cstheme="minorHAnsi"/>
          <w:color w:val="000000"/>
          <w:sz w:val="20"/>
          <w:szCs w:val="20"/>
        </w:rPr>
        <w:t xml:space="preserve">, una </w:t>
      </w:r>
      <w:proofErr w:type="spellStart"/>
      <w:r w:rsidRPr="00C24DD4">
        <w:rPr>
          <w:rFonts w:asciiTheme="minorHAnsi" w:eastAsia="Verdana" w:hAnsiTheme="minorHAnsi" w:cstheme="minorHAnsi"/>
          <w:color w:val="000000"/>
          <w:sz w:val="20"/>
          <w:szCs w:val="20"/>
        </w:rPr>
        <w:t>circumvention</w:t>
      </w:r>
      <w:proofErr w:type="spellEnd"/>
      <w:r w:rsidRPr="00C24DD4">
        <w:rPr>
          <w:rFonts w:asciiTheme="minorHAnsi" w:eastAsia="Verdana" w:hAnsiTheme="minorHAnsi" w:cstheme="minorHAnsi"/>
          <w:color w:val="000000"/>
          <w:sz w:val="20"/>
          <w:szCs w:val="20"/>
        </w:rPr>
        <w:t xml:space="preserve"> o un bypass, purché seguito dalla correzione definitiva del malfunzionamento.</w:t>
      </w:r>
    </w:p>
    <w:p w:rsidR="0006511F" w:rsidRPr="00C24DD4" w:rsidRDefault="0006511F" w:rsidP="0006511F">
      <w:pPr>
        <w:spacing w:after="482" w:line="286" w:lineRule="exact"/>
        <w:ind w:left="142" w:right="144"/>
        <w:textAlignment w:val="baseline"/>
        <w:rPr>
          <w:rFonts w:asciiTheme="minorHAnsi" w:eastAsia="Verdana" w:hAnsiTheme="minorHAnsi" w:cstheme="minorHAnsi"/>
          <w:color w:val="000000"/>
          <w:sz w:val="20"/>
          <w:szCs w:val="20"/>
          <w:u w:val="single"/>
        </w:rPr>
      </w:pPr>
      <w:r w:rsidRPr="00C24DD4">
        <w:rPr>
          <w:rFonts w:asciiTheme="minorHAnsi" w:eastAsia="Verdana" w:hAnsiTheme="minorHAnsi" w:cstheme="minorHAnsi"/>
          <w:color w:val="000000"/>
          <w:sz w:val="20"/>
          <w:szCs w:val="20"/>
          <w:u w:val="single"/>
        </w:rPr>
        <w:t>Per quanto riguarda il servizio di manutenzione per la componente Hardware delle Appliance, si riportano di seguito i livelli di servizio previsti:</w:t>
      </w:r>
    </w:p>
    <w:tbl>
      <w:tblPr>
        <w:tblW w:w="0" w:type="auto"/>
        <w:jc w:val="center"/>
        <w:tblLayout w:type="fixed"/>
        <w:tblCellMar>
          <w:left w:w="0" w:type="dxa"/>
          <w:right w:w="0" w:type="dxa"/>
        </w:tblCellMar>
        <w:tblLook w:val="0000" w:firstRow="0" w:lastRow="0" w:firstColumn="0" w:lastColumn="0" w:noHBand="0" w:noVBand="0"/>
      </w:tblPr>
      <w:tblGrid>
        <w:gridCol w:w="2243"/>
        <w:gridCol w:w="4370"/>
      </w:tblGrid>
      <w:tr w:rsidR="0006511F" w:rsidRPr="00C24DD4" w:rsidTr="0006511F">
        <w:trPr>
          <w:trHeight w:hRule="exact" w:val="918"/>
          <w:jc w:val="center"/>
        </w:trPr>
        <w:tc>
          <w:tcPr>
            <w:tcW w:w="2243" w:type="dxa"/>
            <w:tcBorders>
              <w:top w:val="single" w:sz="5" w:space="0" w:color="000000"/>
              <w:left w:val="single" w:sz="5" w:space="0" w:color="000000"/>
              <w:bottom w:val="single" w:sz="5" w:space="0" w:color="000000"/>
              <w:right w:val="single" w:sz="5" w:space="0" w:color="000000"/>
            </w:tcBorders>
          </w:tcPr>
          <w:p w:rsidR="0006511F" w:rsidRPr="00C24DD4" w:rsidRDefault="0006511F" w:rsidP="00963AA9">
            <w:pPr>
              <w:spacing w:line="294" w:lineRule="exact"/>
              <w:ind w:left="360"/>
              <w:jc w:val="center"/>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lastRenderedPageBreak/>
              <w:t>Tempo di</w:t>
            </w:r>
            <w:r w:rsidRPr="00C24DD4">
              <w:rPr>
                <w:rFonts w:asciiTheme="minorHAnsi" w:eastAsia="Verdana" w:hAnsiTheme="minorHAnsi" w:cstheme="minorHAnsi"/>
                <w:color w:val="000000"/>
                <w:sz w:val="20"/>
                <w:szCs w:val="20"/>
              </w:rPr>
              <w:t xml:space="preserve"> </w:t>
            </w:r>
            <w:r w:rsidRPr="00C24DD4">
              <w:rPr>
                <w:rFonts w:asciiTheme="minorHAnsi" w:eastAsia="Verdana" w:hAnsiTheme="minorHAnsi" w:cstheme="minorHAnsi"/>
                <w:b/>
                <w:color w:val="000000"/>
                <w:sz w:val="20"/>
                <w:szCs w:val="20"/>
              </w:rPr>
              <w:t xml:space="preserve">presa in </w:t>
            </w:r>
            <w:r w:rsidRPr="00C24DD4">
              <w:rPr>
                <w:rFonts w:asciiTheme="minorHAnsi" w:eastAsia="Verdana" w:hAnsiTheme="minorHAnsi" w:cstheme="minorHAnsi"/>
                <w:b/>
                <w:color w:val="000000"/>
                <w:sz w:val="20"/>
                <w:szCs w:val="20"/>
              </w:rPr>
              <w:br/>
              <w:t>carico del</w:t>
            </w:r>
          </w:p>
          <w:p w:rsidR="0006511F" w:rsidRPr="00C24DD4" w:rsidRDefault="0006511F" w:rsidP="00963AA9">
            <w:pPr>
              <w:spacing w:before="92" w:after="32" w:line="205" w:lineRule="exact"/>
              <w:ind w:right="220"/>
              <w:jc w:val="right"/>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malfunzionamento</w:t>
            </w:r>
          </w:p>
        </w:tc>
        <w:tc>
          <w:tcPr>
            <w:tcW w:w="4370" w:type="dxa"/>
            <w:tcBorders>
              <w:top w:val="single" w:sz="5" w:space="0" w:color="000000"/>
              <w:left w:val="single" w:sz="5" w:space="0" w:color="000000"/>
              <w:bottom w:val="single" w:sz="5" w:space="0" w:color="000000"/>
              <w:right w:val="single" w:sz="5" w:space="0" w:color="000000"/>
            </w:tcBorders>
          </w:tcPr>
          <w:p w:rsidR="0006511F" w:rsidRPr="00C24DD4" w:rsidRDefault="0006511F" w:rsidP="00963AA9">
            <w:pPr>
              <w:spacing w:before="82" w:after="629" w:line="206" w:lineRule="exact"/>
              <w:ind w:right="1235"/>
              <w:jc w:val="right"/>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Tempo di risoluzione</w:t>
            </w:r>
          </w:p>
        </w:tc>
      </w:tr>
      <w:tr w:rsidR="0006511F" w:rsidRPr="00C24DD4" w:rsidTr="0006511F">
        <w:trPr>
          <w:trHeight w:hRule="exact" w:val="320"/>
          <w:jc w:val="center"/>
        </w:trPr>
        <w:tc>
          <w:tcPr>
            <w:tcW w:w="2243" w:type="dxa"/>
            <w:tcBorders>
              <w:top w:val="single" w:sz="5" w:space="0" w:color="000000"/>
              <w:left w:val="single" w:sz="5" w:space="0" w:color="000000"/>
              <w:bottom w:val="single" w:sz="5" w:space="0" w:color="000000"/>
              <w:right w:val="single" w:sz="5" w:space="0" w:color="000000"/>
            </w:tcBorders>
            <w:vAlign w:val="center"/>
          </w:tcPr>
          <w:p w:rsidR="0006511F" w:rsidRPr="00C24DD4" w:rsidRDefault="0006511F" w:rsidP="00963AA9">
            <w:pPr>
              <w:spacing w:before="67" w:after="38" w:line="211" w:lineRule="exact"/>
              <w:ind w:left="1058"/>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2 ore</w:t>
            </w:r>
          </w:p>
        </w:tc>
        <w:tc>
          <w:tcPr>
            <w:tcW w:w="4370" w:type="dxa"/>
            <w:tcBorders>
              <w:top w:val="single" w:sz="5" w:space="0" w:color="000000"/>
              <w:left w:val="single" w:sz="5" w:space="0" w:color="000000"/>
              <w:bottom w:val="single" w:sz="5" w:space="0" w:color="000000"/>
              <w:right w:val="single" w:sz="5" w:space="0" w:color="000000"/>
            </w:tcBorders>
            <w:vAlign w:val="center"/>
          </w:tcPr>
          <w:p w:rsidR="0006511F" w:rsidRPr="00C24DD4" w:rsidRDefault="0006511F" w:rsidP="00963AA9">
            <w:pPr>
              <w:spacing w:before="72" w:after="33" w:line="211" w:lineRule="exact"/>
              <w:ind w:right="1415"/>
              <w:jc w:val="right"/>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8 ore lavorative</w:t>
            </w:r>
          </w:p>
        </w:tc>
      </w:tr>
    </w:tbl>
    <w:p w:rsidR="0006511F" w:rsidRPr="00C24DD4" w:rsidRDefault="0006511F" w:rsidP="00AD7CCF">
      <w:pPr>
        <w:spacing w:line="276" w:lineRule="auto"/>
        <w:rPr>
          <w:rFonts w:asciiTheme="minorHAnsi" w:hAnsiTheme="minorHAnsi" w:cstheme="minorHAnsi"/>
          <w:sz w:val="20"/>
          <w:szCs w:val="20"/>
        </w:rPr>
      </w:pPr>
    </w:p>
    <w:p w:rsidR="0006511F" w:rsidRPr="00C24DD4" w:rsidRDefault="0006511F" w:rsidP="00AD7CCF">
      <w:pPr>
        <w:spacing w:line="276" w:lineRule="auto"/>
        <w:rPr>
          <w:rFonts w:asciiTheme="minorHAnsi" w:hAnsiTheme="minorHAnsi" w:cstheme="minorHAnsi"/>
          <w:sz w:val="20"/>
          <w:szCs w:val="20"/>
        </w:rPr>
      </w:pPr>
      <w:r w:rsidRPr="00C24DD4">
        <w:rPr>
          <w:rFonts w:asciiTheme="minorHAnsi" w:eastAsia="Verdana" w:hAnsiTheme="minorHAnsi" w:cstheme="minorHAnsi"/>
          <w:color w:val="000000"/>
          <w:spacing w:val="-3"/>
          <w:sz w:val="20"/>
          <w:szCs w:val="20"/>
          <w:u w:val="single"/>
        </w:rPr>
        <w:t>Relativamente ai servi professionali è necessario l'accesso diretto del personale ai laboratori IBM.</w:t>
      </w:r>
    </w:p>
    <w:p w:rsidR="0006511F" w:rsidRPr="00C24DD4" w:rsidRDefault="0006511F" w:rsidP="0006511F">
      <w:pPr>
        <w:spacing w:before="367"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 xml:space="preserve">Si precisa che, ove all'esito della presente consultazione risultassero sussistenti i presupposti di cui all'art. 63 del D. </w:t>
      </w:r>
      <w:proofErr w:type="spellStart"/>
      <w:r w:rsidRPr="00C24DD4">
        <w:rPr>
          <w:rFonts w:asciiTheme="minorHAnsi" w:eastAsia="Verdana" w:hAnsiTheme="minorHAnsi" w:cstheme="minorHAnsi"/>
          <w:color w:val="000000"/>
          <w:sz w:val="20"/>
          <w:szCs w:val="20"/>
        </w:rPr>
        <w:t>Lgs</w:t>
      </w:r>
      <w:proofErr w:type="spellEnd"/>
      <w:r w:rsidRPr="00C24DD4">
        <w:rPr>
          <w:rFonts w:asciiTheme="minorHAnsi" w:eastAsia="Verdana" w:hAnsiTheme="minorHAnsi" w:cstheme="minorHAnsi"/>
          <w:color w:val="000000"/>
          <w:sz w:val="20"/>
          <w:szCs w:val="20"/>
        </w:rPr>
        <w:t>. n. 50/2016, Consip si riserva sin d'ora di procedere all'acquisto mediante procedura negoziata senza pubblicazione del bando.</w:t>
      </w:r>
    </w:p>
    <w:p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t>Domande</w:t>
      </w:r>
    </w:p>
    <w:p w:rsidR="00C50638" w:rsidRPr="00C24DD4" w:rsidRDefault="0006511F" w:rsidP="00444A91">
      <w:pPr>
        <w:numPr>
          <w:ilvl w:val="0"/>
          <w:numId w:val="5"/>
        </w:numPr>
        <w:spacing w:after="120" w:line="276" w:lineRule="auto"/>
        <w:ind w:left="0" w:firstLine="0"/>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06511F" w:rsidRPr="00C24DD4" w:rsidRDefault="0006511F" w:rsidP="0006511F">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rsidR="0006511F" w:rsidRPr="00C24DD4" w:rsidRDefault="0006511F" w:rsidP="0006511F">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Distributore di licenze</w:t>
            </w:r>
            <w:r w:rsidR="00C24DD4">
              <w:rPr>
                <w:rFonts w:asciiTheme="minorHAnsi" w:eastAsia="Verdana" w:hAnsiTheme="minorHAnsi" w:cstheme="minorHAnsi"/>
                <w:i/>
                <w:color w:val="000000"/>
                <w:spacing w:val="2"/>
                <w:sz w:val="20"/>
                <w:szCs w:val="20"/>
              </w:rPr>
              <w:t>/</w:t>
            </w:r>
            <w:proofErr w:type="spellStart"/>
            <w:r w:rsidR="00C24DD4">
              <w:rPr>
                <w:rFonts w:asciiTheme="minorHAnsi" w:eastAsia="Verdana" w:hAnsiTheme="minorHAnsi" w:cstheme="minorHAnsi"/>
                <w:i/>
                <w:color w:val="000000"/>
                <w:spacing w:val="2"/>
                <w:sz w:val="20"/>
                <w:szCs w:val="20"/>
              </w:rPr>
              <w:t>Appliace</w:t>
            </w:r>
            <w:proofErr w:type="spellEnd"/>
            <w:r w:rsidR="00C24DD4">
              <w:rPr>
                <w:rFonts w:asciiTheme="minorHAnsi" w:eastAsia="Verdana" w:hAnsiTheme="minorHAnsi" w:cstheme="minorHAnsi"/>
                <w:i/>
                <w:color w:val="000000"/>
                <w:spacing w:val="2"/>
                <w:sz w:val="20"/>
                <w:szCs w:val="20"/>
              </w:rPr>
              <w:t>/sottoscrizioni</w:t>
            </w:r>
          </w:p>
          <w:p w:rsidR="00C24DD4" w:rsidRPr="00C24DD4" w:rsidRDefault="0006511F" w:rsidP="00C24DD4">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di </w:t>
            </w:r>
            <w:r w:rsidR="00C24DD4" w:rsidRPr="00C24DD4">
              <w:rPr>
                <w:rFonts w:asciiTheme="minorHAnsi" w:eastAsia="Verdana" w:hAnsiTheme="minorHAnsi" w:cstheme="minorHAnsi"/>
                <w:i/>
                <w:color w:val="000000"/>
                <w:spacing w:val="2"/>
                <w:sz w:val="20"/>
                <w:szCs w:val="20"/>
              </w:rPr>
              <w:t>licenze</w:t>
            </w:r>
            <w:r w:rsidR="00C24DD4">
              <w:rPr>
                <w:rFonts w:asciiTheme="minorHAnsi" w:eastAsia="Verdana" w:hAnsiTheme="minorHAnsi" w:cstheme="minorHAnsi"/>
                <w:i/>
                <w:color w:val="000000"/>
                <w:spacing w:val="2"/>
                <w:sz w:val="20"/>
                <w:szCs w:val="20"/>
              </w:rPr>
              <w:t>/</w:t>
            </w:r>
            <w:proofErr w:type="spellStart"/>
            <w:r w:rsidR="00C24DD4">
              <w:rPr>
                <w:rFonts w:asciiTheme="minorHAnsi" w:eastAsia="Verdana" w:hAnsiTheme="minorHAnsi" w:cstheme="minorHAnsi"/>
                <w:i/>
                <w:color w:val="000000"/>
                <w:spacing w:val="2"/>
                <w:sz w:val="20"/>
                <w:szCs w:val="20"/>
              </w:rPr>
              <w:t>Appliace</w:t>
            </w:r>
            <w:proofErr w:type="spellEnd"/>
            <w:r w:rsidR="00C24DD4">
              <w:rPr>
                <w:rFonts w:asciiTheme="minorHAnsi" w:eastAsia="Verdana" w:hAnsiTheme="minorHAnsi" w:cstheme="minorHAnsi"/>
                <w:i/>
                <w:color w:val="000000"/>
                <w:spacing w:val="2"/>
                <w:sz w:val="20"/>
                <w:szCs w:val="20"/>
              </w:rPr>
              <w:t>/sottoscrizioni</w:t>
            </w:r>
          </w:p>
          <w:p w:rsidR="0006511F" w:rsidRPr="00C24DD4" w:rsidRDefault="0006511F" w:rsidP="0006511F">
            <w:pPr>
              <w:numPr>
                <w:ilvl w:val="0"/>
                <w:numId w:val="16"/>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p w:rsidR="00132904" w:rsidRPr="00C24DD4" w:rsidRDefault="0006511F" w:rsidP="0006511F">
            <w:pPr>
              <w:tabs>
                <w:tab w:val="left" w:pos="2016"/>
              </w:tabs>
              <w:spacing w:before="291" w:line="229" w:lineRule="exact"/>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3"/>
                <w:sz w:val="20"/>
                <w:szCs w:val="20"/>
              </w:rPr>
              <w:t xml:space="preserve">     </w:t>
            </w:r>
          </w:p>
        </w:tc>
      </w:tr>
    </w:tbl>
    <w:p w:rsidR="00C50638" w:rsidRPr="00C24DD4" w:rsidRDefault="00C50638" w:rsidP="00486B8C">
      <w:pPr>
        <w:spacing w:line="360" w:lineRule="auto"/>
        <w:jc w:val="both"/>
        <w:rPr>
          <w:rFonts w:asciiTheme="minorHAnsi" w:hAnsiTheme="minorHAnsi" w:cstheme="minorHAnsi"/>
          <w:sz w:val="20"/>
          <w:szCs w:val="20"/>
        </w:rPr>
      </w:pPr>
    </w:p>
    <w:p w:rsidR="00EB536E" w:rsidRPr="00C24DD4" w:rsidRDefault="00EB536E" w:rsidP="00444A91">
      <w:pPr>
        <w:numPr>
          <w:ilvl w:val="0"/>
          <w:numId w:val="5"/>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06511F" w:rsidRPr="00C24DD4">
        <w:rPr>
          <w:rFonts w:asciiTheme="minorHAnsi" w:eastAsia="Tahoma" w:hAnsiTheme="minorHAnsi" w:cstheme="minorHAnsi"/>
          <w:i/>
          <w:color w:val="000000"/>
          <w:sz w:val="20"/>
          <w:szCs w:val="20"/>
        </w:rPr>
        <w:t>(licenze,</w:t>
      </w:r>
      <w:r w:rsidR="00C24DD4">
        <w:rPr>
          <w:rFonts w:asciiTheme="minorHAnsi" w:eastAsia="Tahoma" w:hAnsiTheme="minorHAnsi" w:cstheme="minorHAnsi"/>
          <w:i/>
          <w:color w:val="000000"/>
          <w:sz w:val="20"/>
          <w:szCs w:val="20"/>
        </w:rPr>
        <w:t xml:space="preserve"> sottoscrizioni, </w:t>
      </w:r>
      <w:r w:rsidR="0006511F" w:rsidRPr="00C24DD4">
        <w:rPr>
          <w:rFonts w:asciiTheme="minorHAnsi" w:eastAsia="Tahoma" w:hAnsiTheme="minorHAnsi" w:cstheme="minorHAnsi"/>
          <w:i/>
          <w:color w:val="000000"/>
          <w:sz w:val="20"/>
          <w:szCs w:val="20"/>
        </w:rPr>
        <w:t xml:space="preserve">servizio di manutenzione </w:t>
      </w:r>
      <w:proofErr w:type="spellStart"/>
      <w:r w:rsidR="0006511F" w:rsidRPr="00C24DD4">
        <w:rPr>
          <w:rFonts w:asciiTheme="minorHAnsi" w:eastAsia="Tahoma" w:hAnsiTheme="minorHAnsi" w:cstheme="minorHAnsi"/>
          <w:i/>
          <w:color w:val="000000"/>
          <w:sz w:val="20"/>
          <w:szCs w:val="20"/>
        </w:rPr>
        <w:t>sw</w:t>
      </w:r>
      <w:proofErr w:type="spellEnd"/>
      <w:r w:rsidR="0006511F" w:rsidRPr="00C24DD4">
        <w:rPr>
          <w:rFonts w:asciiTheme="minorHAnsi" w:eastAsia="Tahoma" w:hAnsiTheme="minorHAnsi" w:cstheme="minorHAnsi"/>
          <w:i/>
          <w:color w:val="000000"/>
          <w:sz w:val="20"/>
          <w:szCs w:val="20"/>
        </w:rPr>
        <w:t xml:space="preserve">, </w:t>
      </w:r>
      <w:proofErr w:type="spellStart"/>
      <w:r w:rsidR="0006511F" w:rsidRPr="00C24DD4">
        <w:rPr>
          <w:rFonts w:asciiTheme="minorHAnsi" w:eastAsia="Tahoma" w:hAnsiTheme="minorHAnsi" w:cstheme="minorHAnsi"/>
          <w:i/>
          <w:color w:val="000000"/>
          <w:sz w:val="20"/>
          <w:szCs w:val="20"/>
        </w:rPr>
        <w:t>appliance</w:t>
      </w:r>
      <w:proofErr w:type="spellEnd"/>
      <w:r w:rsidR="0006511F" w:rsidRPr="00C24DD4">
        <w:rPr>
          <w:rFonts w:asciiTheme="minorHAnsi" w:eastAsia="Tahoma" w:hAnsiTheme="minorHAnsi" w:cstheme="minorHAnsi"/>
          <w:i/>
          <w:color w:val="000000"/>
          <w:sz w:val="20"/>
          <w:szCs w:val="20"/>
        </w:rPr>
        <w:t>, servizi professionali IBM),</w:t>
      </w:r>
      <w:r w:rsidR="00074BD2" w:rsidRPr="00C24DD4">
        <w:rPr>
          <w:rFonts w:asciiTheme="minorHAnsi" w:hAnsiTheme="minorHAnsi" w:cstheme="minorHAnsi"/>
          <w:i/>
          <w:color w:val="0070C0"/>
          <w:sz w:val="20"/>
          <w:szCs w:val="20"/>
        </w:rPr>
        <w:t xml:space="preserve"> </w:t>
      </w:r>
      <w:r w:rsidR="0006511F" w:rsidRPr="00C24DD4">
        <w:rPr>
          <w:rFonts w:asciiTheme="minorHAnsi" w:hAnsiTheme="minorHAnsi" w:cstheme="minorHAnsi"/>
          <w:sz w:val="20"/>
          <w:szCs w:val="20"/>
        </w:rPr>
        <w:t>indicare i prodotti e i servizi che l'Azienda è in grado di fornire direttamente</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132904" w:rsidRPr="00C24DD4" w:rsidRDefault="00132904" w:rsidP="00132904">
      <w:pPr>
        <w:spacing w:line="360" w:lineRule="auto"/>
        <w:jc w:val="both"/>
        <w:rPr>
          <w:rFonts w:asciiTheme="minorHAnsi" w:hAnsiTheme="minorHAnsi" w:cstheme="minorHAnsi"/>
          <w:sz w:val="20"/>
          <w:szCs w:val="20"/>
        </w:rPr>
      </w:pPr>
    </w:p>
    <w:p w:rsidR="00C50638" w:rsidRPr="00C24DD4" w:rsidRDefault="0006511F" w:rsidP="00444A91">
      <w:pPr>
        <w:numPr>
          <w:ilvl w:val="0"/>
          <w:numId w:val="5"/>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a quanto compreso nell'oggetto dell'iniziativa </w:t>
      </w:r>
      <w:r w:rsidRPr="00C24DD4">
        <w:rPr>
          <w:rFonts w:asciiTheme="minorHAnsi" w:eastAsia="Tahoma" w:hAnsiTheme="minorHAnsi" w:cstheme="minorHAnsi"/>
          <w:i/>
          <w:color w:val="000000"/>
          <w:sz w:val="20"/>
          <w:szCs w:val="20"/>
        </w:rPr>
        <w:t>(licenze,</w:t>
      </w:r>
      <w:r w:rsidR="00C24DD4">
        <w:rPr>
          <w:rFonts w:asciiTheme="minorHAnsi" w:eastAsia="Tahoma" w:hAnsiTheme="minorHAnsi" w:cstheme="minorHAnsi"/>
          <w:i/>
          <w:color w:val="000000"/>
          <w:sz w:val="20"/>
          <w:szCs w:val="20"/>
        </w:rPr>
        <w:t xml:space="preserve"> sottoscrizioni,</w:t>
      </w:r>
      <w:r w:rsidRPr="00C24DD4">
        <w:rPr>
          <w:rFonts w:asciiTheme="minorHAnsi" w:eastAsia="Tahoma" w:hAnsiTheme="minorHAnsi" w:cstheme="minorHAnsi"/>
          <w:i/>
          <w:color w:val="000000"/>
          <w:sz w:val="20"/>
          <w:szCs w:val="20"/>
        </w:rPr>
        <w:t xml:space="preserve"> servizio di manutenzione </w:t>
      </w:r>
      <w:proofErr w:type="spellStart"/>
      <w:r w:rsidRPr="00C24DD4">
        <w:rPr>
          <w:rFonts w:asciiTheme="minorHAnsi" w:eastAsia="Tahoma" w:hAnsiTheme="minorHAnsi" w:cstheme="minorHAnsi"/>
          <w:i/>
          <w:color w:val="000000"/>
          <w:sz w:val="20"/>
          <w:szCs w:val="20"/>
        </w:rPr>
        <w:t>sw</w:t>
      </w:r>
      <w:proofErr w:type="spellEnd"/>
      <w:r w:rsidRPr="00C24DD4">
        <w:rPr>
          <w:rFonts w:asciiTheme="minorHAnsi" w:eastAsia="Tahoma" w:hAnsiTheme="minorHAnsi" w:cstheme="minorHAnsi"/>
          <w:i/>
          <w:color w:val="000000"/>
          <w:sz w:val="20"/>
          <w:szCs w:val="20"/>
        </w:rPr>
        <w:t xml:space="preserve">, </w:t>
      </w:r>
      <w:proofErr w:type="spellStart"/>
      <w:r w:rsidRPr="00C24DD4">
        <w:rPr>
          <w:rFonts w:asciiTheme="minorHAnsi" w:eastAsia="Tahoma" w:hAnsiTheme="minorHAnsi" w:cstheme="minorHAnsi"/>
          <w:i/>
          <w:color w:val="000000"/>
          <w:sz w:val="20"/>
          <w:szCs w:val="20"/>
        </w:rPr>
        <w:t>appliance</w:t>
      </w:r>
      <w:proofErr w:type="spellEnd"/>
      <w:r w:rsidRPr="00C24DD4">
        <w:rPr>
          <w:rFonts w:asciiTheme="minorHAnsi" w:eastAsia="Tahoma" w:hAnsiTheme="minorHAnsi" w:cstheme="minorHAnsi"/>
          <w:i/>
          <w:color w:val="000000"/>
          <w:sz w:val="20"/>
          <w:szCs w:val="20"/>
        </w:rPr>
        <w:t>, servizi professionali IBM)</w:t>
      </w:r>
      <w:r w:rsidRPr="00C24DD4">
        <w:rPr>
          <w:rFonts w:asciiTheme="minorHAnsi" w:hAnsiTheme="minorHAnsi" w:cstheme="minorHAnsi"/>
          <w:sz w:val="20"/>
          <w:szCs w:val="20"/>
        </w:rPr>
        <w:t xml:space="preserve"> indicare qual è il fatturato annuo medio realizzato dall'Azienda nell'ultimo triennio nel mercato Italiano</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132904" w:rsidRPr="00C24DD4" w:rsidRDefault="00132904" w:rsidP="00132904">
      <w:pPr>
        <w:spacing w:line="360" w:lineRule="auto"/>
        <w:jc w:val="both"/>
        <w:rPr>
          <w:rFonts w:asciiTheme="minorHAnsi" w:hAnsiTheme="minorHAnsi" w:cstheme="minorHAnsi"/>
          <w:sz w:val="20"/>
          <w:szCs w:val="20"/>
        </w:rPr>
      </w:pPr>
    </w:p>
    <w:p w:rsidR="00EB536E" w:rsidRPr="00C24DD4" w:rsidRDefault="0006511F" w:rsidP="00444A91">
      <w:pPr>
        <w:numPr>
          <w:ilvl w:val="0"/>
          <w:numId w:val="5"/>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o quanto compreso nell'oggetto dell'iniziativa </w:t>
      </w:r>
      <w:r w:rsidRPr="00C24DD4">
        <w:rPr>
          <w:rFonts w:asciiTheme="minorHAnsi" w:eastAsia="Tahoma" w:hAnsiTheme="minorHAnsi" w:cstheme="minorHAnsi"/>
          <w:i/>
          <w:color w:val="000000"/>
          <w:sz w:val="20"/>
          <w:szCs w:val="20"/>
        </w:rPr>
        <w:t xml:space="preserve">(licenze, </w:t>
      </w:r>
      <w:r w:rsidR="00C24DD4">
        <w:rPr>
          <w:rFonts w:asciiTheme="minorHAnsi" w:eastAsia="Tahoma" w:hAnsiTheme="minorHAnsi" w:cstheme="minorHAnsi"/>
          <w:i/>
          <w:color w:val="000000"/>
          <w:sz w:val="20"/>
          <w:szCs w:val="20"/>
        </w:rPr>
        <w:t xml:space="preserve">sottoscrizioni, </w:t>
      </w:r>
      <w:r w:rsidRPr="00C24DD4">
        <w:rPr>
          <w:rFonts w:asciiTheme="minorHAnsi" w:eastAsia="Tahoma" w:hAnsiTheme="minorHAnsi" w:cstheme="minorHAnsi"/>
          <w:i/>
          <w:color w:val="000000"/>
          <w:sz w:val="20"/>
          <w:szCs w:val="20"/>
        </w:rPr>
        <w:t xml:space="preserve">servizio di manutenzione </w:t>
      </w:r>
      <w:proofErr w:type="spellStart"/>
      <w:r w:rsidRPr="00C24DD4">
        <w:rPr>
          <w:rFonts w:asciiTheme="minorHAnsi" w:eastAsia="Tahoma" w:hAnsiTheme="minorHAnsi" w:cstheme="minorHAnsi"/>
          <w:i/>
          <w:color w:val="000000"/>
          <w:sz w:val="20"/>
          <w:szCs w:val="20"/>
        </w:rPr>
        <w:t>sw</w:t>
      </w:r>
      <w:proofErr w:type="spellEnd"/>
      <w:r w:rsidRPr="00C24DD4">
        <w:rPr>
          <w:rFonts w:asciiTheme="minorHAnsi" w:eastAsia="Tahoma" w:hAnsiTheme="minorHAnsi" w:cstheme="minorHAnsi"/>
          <w:i/>
          <w:color w:val="000000"/>
          <w:sz w:val="20"/>
          <w:szCs w:val="20"/>
        </w:rPr>
        <w:t xml:space="preserve">, </w:t>
      </w:r>
      <w:proofErr w:type="spellStart"/>
      <w:r w:rsidRPr="00C24DD4">
        <w:rPr>
          <w:rFonts w:asciiTheme="minorHAnsi" w:eastAsia="Tahoma" w:hAnsiTheme="minorHAnsi" w:cstheme="minorHAnsi"/>
          <w:i/>
          <w:color w:val="000000"/>
          <w:sz w:val="20"/>
          <w:szCs w:val="20"/>
        </w:rPr>
        <w:t>appliance</w:t>
      </w:r>
      <w:proofErr w:type="spellEnd"/>
      <w:r w:rsidRPr="00C24DD4">
        <w:rPr>
          <w:rFonts w:asciiTheme="minorHAnsi" w:eastAsia="Tahoma" w:hAnsiTheme="minorHAnsi" w:cstheme="minorHAnsi"/>
          <w:i/>
          <w:color w:val="000000"/>
          <w:sz w:val="20"/>
          <w:szCs w:val="20"/>
        </w:rPr>
        <w:t>, servizi professionali IBM)</w:t>
      </w:r>
      <w:r w:rsidRPr="00C24DD4">
        <w:rPr>
          <w:rFonts w:asciiTheme="minorHAnsi" w:hAnsiTheme="minorHAnsi" w:cstheme="minorHAnsi"/>
          <w:sz w:val="20"/>
          <w:szCs w:val="20"/>
        </w:rPr>
        <w:t xml:space="preserve">, descrivere le politiche commerciali, per la rivendita di ciascuna delle tipologie di prodotti e servizi precedentemente descritti (vendita diretta, distributori, </w:t>
      </w:r>
      <w:proofErr w:type="spellStart"/>
      <w:r w:rsidRPr="00C24DD4">
        <w:rPr>
          <w:rFonts w:asciiTheme="minorHAnsi" w:hAnsiTheme="minorHAnsi" w:cstheme="minorHAnsi"/>
          <w:sz w:val="20"/>
          <w:szCs w:val="20"/>
        </w:rPr>
        <w:t>retail</w:t>
      </w:r>
      <w:proofErr w:type="spellEnd"/>
      <w:r w:rsidRPr="00C24DD4">
        <w:rPr>
          <w:rFonts w:asciiTheme="minorHAnsi" w:hAnsiTheme="minorHAnsi" w:cstheme="minorHAnsi"/>
          <w:sz w:val="20"/>
          <w:szCs w:val="20"/>
        </w:rPr>
        <w:t xml:space="preserve"> ecc</w:t>
      </w:r>
      <w:r w:rsidR="00EB536E" w:rsidRPr="00C24DD4">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525622" w:rsidRPr="00C24DD4" w:rsidRDefault="00525622" w:rsidP="00A71B54">
      <w:pPr>
        <w:jc w:val="both"/>
        <w:rPr>
          <w:rFonts w:asciiTheme="minorHAnsi" w:hAnsiTheme="minorHAnsi" w:cstheme="minorHAnsi"/>
          <w:sz w:val="20"/>
          <w:szCs w:val="20"/>
        </w:rPr>
      </w:pPr>
    </w:p>
    <w:p w:rsidR="00C50638" w:rsidRPr="00C24DD4" w:rsidRDefault="0006511F" w:rsidP="0006511F">
      <w:pPr>
        <w:pStyle w:val="Paragrafoelenco"/>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con il produttore IBM? Se si, indicare il livello (silver, </w:t>
      </w:r>
      <w:proofErr w:type="spellStart"/>
      <w:r w:rsidRPr="00C24DD4">
        <w:rPr>
          <w:rFonts w:asciiTheme="minorHAnsi" w:hAnsiTheme="minorHAnsi" w:cstheme="minorHAnsi"/>
          <w:sz w:val="20"/>
          <w:szCs w:val="20"/>
        </w:rPr>
        <w:t>gold</w:t>
      </w:r>
      <w:proofErr w:type="spellEnd"/>
      <w:r w:rsidRPr="00C24DD4">
        <w:rPr>
          <w:rFonts w:asciiTheme="minorHAnsi" w:hAnsiTheme="minorHAnsi" w:cstheme="minorHAnsi"/>
          <w:sz w:val="20"/>
          <w:szCs w:val="20"/>
        </w:rPr>
        <w:t>, etc..) e descrivere dettagliatamente le caratteristiche tecniche e commerciali che definiscono la partnership, incluse eventuali particolari condizioni e/o limitazioni nella rivendita di prodotti e servizi</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B86271">
        <w:trPr>
          <w:trHeight w:val="1106"/>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p w:rsidR="00D221F7" w:rsidRPr="00C24DD4" w:rsidRDefault="00D221F7" w:rsidP="00402B52">
            <w:pPr>
              <w:jc w:val="both"/>
              <w:rPr>
                <w:rFonts w:asciiTheme="minorHAnsi" w:hAnsiTheme="minorHAnsi" w:cstheme="minorHAnsi"/>
                <w:bCs/>
                <w:sz w:val="20"/>
                <w:szCs w:val="20"/>
              </w:rPr>
            </w:pPr>
          </w:p>
        </w:tc>
      </w:tr>
    </w:tbl>
    <w:p w:rsidR="00C8079A" w:rsidRPr="00C24DD4" w:rsidRDefault="00C8079A" w:rsidP="00C8079A">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rsidTr="00963AA9">
        <w:trPr>
          <w:trHeight w:val="1824"/>
        </w:trPr>
        <w:tc>
          <w:tcPr>
            <w:tcW w:w="8494" w:type="dxa"/>
            <w:shd w:val="clear" w:color="auto" w:fill="F2F2F2" w:themeFill="background1" w:themeFillShade="F2"/>
          </w:tcPr>
          <w:p w:rsidR="00C8079A" w:rsidRPr="00C24DD4" w:rsidRDefault="00C8079A" w:rsidP="00C8079A">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lastRenderedPageBreak/>
              <w:t>Listino pubblico (indicare eventuale link o altra informazione per reperire tale listino)</w:t>
            </w:r>
          </w:p>
          <w:p w:rsidR="00C8079A" w:rsidRPr="00C24DD4" w:rsidRDefault="00C8079A" w:rsidP="00C8079A">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rsidR="00C8079A" w:rsidRPr="00C24DD4" w:rsidRDefault="00C8079A" w:rsidP="00C8079A">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rsidR="00E82DFF" w:rsidRPr="00C24DD4" w:rsidRDefault="00E82DFF" w:rsidP="00C8079A">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C8079A" w:rsidRPr="00C24DD4" w:rsidRDefault="00C8079A" w:rsidP="00963AA9">
            <w:pPr>
              <w:jc w:val="both"/>
              <w:rPr>
                <w:rFonts w:asciiTheme="minorHAnsi" w:hAnsiTheme="minorHAnsi" w:cstheme="minorHAnsi"/>
                <w:bCs/>
                <w:sz w:val="20"/>
                <w:szCs w:val="20"/>
              </w:rPr>
            </w:pPr>
          </w:p>
        </w:tc>
      </w:tr>
    </w:tbl>
    <w:p w:rsidR="008425F2" w:rsidRPr="00C24DD4" w:rsidRDefault="008425F2">
      <w:pPr>
        <w:jc w:val="both"/>
        <w:rPr>
          <w:rFonts w:asciiTheme="minorHAnsi" w:hAnsiTheme="minorHAnsi" w:cstheme="minorHAnsi"/>
          <w:sz w:val="20"/>
          <w:szCs w:val="20"/>
        </w:rPr>
      </w:pPr>
    </w:p>
    <w:p w:rsidR="00C8079A" w:rsidRPr="00C24DD4" w:rsidRDefault="00C8079A" w:rsidP="00C8079A">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Con specifico riferimento alla manutenzione </w:t>
      </w:r>
      <w:proofErr w:type="spellStart"/>
      <w:r w:rsidRPr="00C24DD4">
        <w:rPr>
          <w:rFonts w:asciiTheme="minorHAnsi" w:hAnsiTheme="minorHAnsi" w:cstheme="minorHAnsi"/>
          <w:sz w:val="20"/>
          <w:szCs w:val="20"/>
        </w:rPr>
        <w:t>sw</w:t>
      </w:r>
      <w:proofErr w:type="spellEnd"/>
      <w:r w:rsidRPr="00C24DD4">
        <w:rPr>
          <w:rFonts w:asciiTheme="minorHAnsi" w:hAnsiTheme="minorHAnsi" w:cstheme="minorHAnsi"/>
          <w:sz w:val="20"/>
          <w:szCs w:val="20"/>
        </w:rPr>
        <w:t>, le corrispondenti prestazioni, usualmente</w:t>
      </w:r>
      <w:r w:rsidR="00FB1DD6" w:rsidRPr="00C24DD4">
        <w:rPr>
          <w:rFonts w:asciiTheme="minorHAnsi" w:hAnsiTheme="minorHAnsi" w:cstheme="minorHAnsi"/>
          <w:sz w:val="20"/>
          <w:szCs w:val="20"/>
        </w:rPr>
        <w:t>, vengono eseguite dall’impresa: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rsidTr="00963AA9">
        <w:trPr>
          <w:trHeight w:val="1824"/>
        </w:trPr>
        <w:tc>
          <w:tcPr>
            <w:tcW w:w="8494" w:type="dxa"/>
            <w:shd w:val="clear" w:color="auto" w:fill="F2F2F2" w:themeFill="background1" w:themeFillShade="F2"/>
          </w:tcPr>
          <w:p w:rsidR="00E82DFF" w:rsidRPr="00C24DD4" w:rsidRDefault="00E82DFF" w:rsidP="00E82DFF">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Direttamente</w:t>
            </w:r>
          </w:p>
          <w:p w:rsidR="00E82DFF" w:rsidRPr="00C24DD4" w:rsidRDefault="00E82DFF" w:rsidP="00E82DFF">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Tramite subappaltatori</w:t>
            </w:r>
          </w:p>
          <w:p w:rsidR="00E82DFF" w:rsidRPr="00C24DD4" w:rsidRDefault="00E82DFF" w:rsidP="00E82DFF">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 xml:space="preserve">Tramite la casa madre, in forza di contratti continuativi di cooperazione stipulati con la medesima (art. 105, comma 3, </w:t>
            </w:r>
            <w:proofErr w:type="spellStart"/>
            <w:r w:rsidRPr="00C24DD4">
              <w:rPr>
                <w:rFonts w:asciiTheme="minorHAnsi" w:eastAsia="Verdana" w:hAnsiTheme="minorHAnsi" w:cstheme="minorHAnsi"/>
                <w:i/>
                <w:color w:val="000000"/>
                <w:spacing w:val="1"/>
                <w:sz w:val="20"/>
                <w:szCs w:val="20"/>
              </w:rPr>
              <w:t>lett</w:t>
            </w:r>
            <w:proofErr w:type="spellEnd"/>
            <w:r w:rsidRPr="00C24DD4">
              <w:rPr>
                <w:rFonts w:asciiTheme="minorHAnsi" w:eastAsia="Verdana" w:hAnsiTheme="minorHAnsi" w:cstheme="minorHAnsi"/>
                <w:i/>
                <w:color w:val="000000"/>
                <w:spacing w:val="1"/>
                <w:sz w:val="20"/>
                <w:szCs w:val="20"/>
              </w:rPr>
              <w:t xml:space="preserve">. c-bis, del </w:t>
            </w:r>
            <w:proofErr w:type="spellStart"/>
            <w:r w:rsidRPr="00C24DD4">
              <w:rPr>
                <w:rFonts w:asciiTheme="minorHAnsi" w:eastAsia="Verdana" w:hAnsiTheme="minorHAnsi" w:cstheme="minorHAnsi"/>
                <w:i/>
                <w:color w:val="000000"/>
                <w:spacing w:val="1"/>
                <w:sz w:val="20"/>
                <w:szCs w:val="20"/>
              </w:rPr>
              <w:t>Dlgs</w:t>
            </w:r>
            <w:proofErr w:type="spellEnd"/>
            <w:r w:rsidRPr="00C24DD4">
              <w:rPr>
                <w:rFonts w:asciiTheme="minorHAnsi" w:eastAsia="Verdana" w:hAnsiTheme="minorHAnsi" w:cstheme="minorHAnsi"/>
                <w:i/>
                <w:color w:val="000000"/>
                <w:spacing w:val="1"/>
                <w:sz w:val="20"/>
                <w:szCs w:val="20"/>
              </w:rPr>
              <w:t>. 50/2016)</w:t>
            </w:r>
          </w:p>
          <w:p w:rsidR="00161107" w:rsidRPr="00C24DD4" w:rsidRDefault="00161107" w:rsidP="00E82DFF">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C8079A" w:rsidRPr="00C24DD4" w:rsidRDefault="00C8079A" w:rsidP="00963AA9">
            <w:pPr>
              <w:jc w:val="both"/>
              <w:rPr>
                <w:rFonts w:asciiTheme="minorHAnsi" w:hAnsiTheme="minorHAnsi" w:cstheme="minorHAnsi"/>
                <w:bCs/>
                <w:sz w:val="20"/>
                <w:szCs w:val="20"/>
              </w:rPr>
            </w:pPr>
          </w:p>
        </w:tc>
      </w:tr>
    </w:tbl>
    <w:p w:rsidR="00C8079A" w:rsidRPr="00C24DD4" w:rsidRDefault="00C8079A">
      <w:pPr>
        <w:jc w:val="both"/>
        <w:rPr>
          <w:rFonts w:asciiTheme="minorHAnsi" w:hAnsiTheme="minorHAnsi" w:cstheme="minorHAnsi"/>
          <w:sz w:val="20"/>
          <w:szCs w:val="20"/>
        </w:rPr>
      </w:pPr>
    </w:p>
    <w:p w:rsidR="00161107" w:rsidRPr="00C24DD4" w:rsidRDefault="00161107" w:rsidP="00161107">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Con riferimento alla manutenzione </w:t>
      </w:r>
      <w:proofErr w:type="spellStart"/>
      <w:r w:rsidRPr="00C24DD4">
        <w:rPr>
          <w:rFonts w:asciiTheme="minorHAnsi" w:hAnsiTheme="minorHAnsi" w:cstheme="minorHAnsi"/>
          <w:sz w:val="20"/>
          <w:szCs w:val="20"/>
        </w:rPr>
        <w:t>sw</w:t>
      </w:r>
      <w:proofErr w:type="spellEnd"/>
      <w:r w:rsidRPr="00C24DD4">
        <w:rPr>
          <w:rFonts w:asciiTheme="minorHAnsi" w:hAnsiTheme="minorHAnsi" w:cstheme="minorHAnsi"/>
          <w:sz w:val="20"/>
          <w:szCs w:val="20"/>
        </w:rPr>
        <w:t>, indicare, se diversi dai minimi richiesti, i livelli di servizio previsi per la presa in carico e per la risoluzione, anche in funzione dei livelli d</w:t>
      </w:r>
      <w:r w:rsidR="00FB1DD6" w:rsidRPr="00C24DD4">
        <w:rPr>
          <w:rFonts w:asciiTheme="minorHAnsi" w:hAnsiTheme="minorHAnsi" w:cstheme="minorHAnsi"/>
          <w:sz w:val="20"/>
          <w:szCs w:val="20"/>
        </w:rPr>
        <w:t>i severità dei malfunzionamenti: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61107" w:rsidRPr="00C24DD4" w:rsidTr="00643269">
        <w:trPr>
          <w:trHeight w:val="1824"/>
        </w:trPr>
        <w:tc>
          <w:tcPr>
            <w:tcW w:w="8494" w:type="dxa"/>
            <w:shd w:val="clear" w:color="auto" w:fill="F2F2F2" w:themeFill="background1" w:themeFillShade="F2"/>
          </w:tcPr>
          <w:p w:rsidR="00161107" w:rsidRPr="00C24DD4" w:rsidRDefault="00161107" w:rsidP="00161107">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161107" w:rsidRPr="00C24DD4" w:rsidRDefault="00161107" w:rsidP="00161107">
      <w:pPr>
        <w:jc w:val="both"/>
        <w:rPr>
          <w:rFonts w:asciiTheme="minorHAnsi" w:hAnsiTheme="minorHAnsi" w:cstheme="minorHAnsi"/>
          <w:sz w:val="20"/>
          <w:szCs w:val="20"/>
        </w:rPr>
      </w:pPr>
    </w:p>
    <w:p w:rsidR="00323DFE" w:rsidRPr="00C24DD4" w:rsidRDefault="00323DF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 riferimento ai servizi di supporto specialistico, le corrispondenti prestazioni, usualmente, vengono eseguite dall’impresa: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643269">
        <w:trPr>
          <w:trHeight w:val="1824"/>
        </w:trPr>
        <w:tc>
          <w:tcPr>
            <w:tcW w:w="8494" w:type="dxa"/>
            <w:shd w:val="clear" w:color="auto" w:fill="F2F2F2" w:themeFill="background1" w:themeFillShade="F2"/>
          </w:tcPr>
          <w:p w:rsidR="00323DFE" w:rsidRPr="00C24DD4" w:rsidRDefault="00323DFE" w:rsidP="00323DFE">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Direttamente</w:t>
            </w:r>
          </w:p>
          <w:p w:rsidR="00323DFE" w:rsidRPr="00C24DD4" w:rsidRDefault="00323DFE" w:rsidP="00323DFE">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Tramite subappaltatori</w:t>
            </w:r>
          </w:p>
          <w:p w:rsidR="00323DFE" w:rsidRPr="00C24DD4" w:rsidRDefault="00323DFE" w:rsidP="00323DFE">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 xml:space="preserve">Tramite la casa madre, in forza di contratti continuativi di cooperazione stipulati con la medesima (art. 105, comma 3, </w:t>
            </w:r>
            <w:proofErr w:type="spellStart"/>
            <w:r w:rsidRPr="00C24DD4">
              <w:rPr>
                <w:rFonts w:asciiTheme="minorHAnsi" w:eastAsia="Verdana" w:hAnsiTheme="minorHAnsi" w:cstheme="minorHAnsi"/>
                <w:i/>
                <w:color w:val="000000"/>
                <w:spacing w:val="1"/>
                <w:sz w:val="20"/>
                <w:szCs w:val="20"/>
              </w:rPr>
              <w:t>lett</w:t>
            </w:r>
            <w:proofErr w:type="spellEnd"/>
            <w:r w:rsidRPr="00C24DD4">
              <w:rPr>
                <w:rFonts w:asciiTheme="minorHAnsi" w:eastAsia="Verdana" w:hAnsiTheme="minorHAnsi" w:cstheme="minorHAnsi"/>
                <w:i/>
                <w:color w:val="000000"/>
                <w:spacing w:val="1"/>
                <w:sz w:val="20"/>
                <w:szCs w:val="20"/>
              </w:rPr>
              <w:t xml:space="preserve">. c-bis, del </w:t>
            </w:r>
            <w:proofErr w:type="spellStart"/>
            <w:r w:rsidRPr="00C24DD4">
              <w:rPr>
                <w:rFonts w:asciiTheme="minorHAnsi" w:eastAsia="Verdana" w:hAnsiTheme="minorHAnsi" w:cstheme="minorHAnsi"/>
                <w:i/>
                <w:color w:val="000000"/>
                <w:spacing w:val="1"/>
                <w:sz w:val="20"/>
                <w:szCs w:val="20"/>
              </w:rPr>
              <w:t>Dlgs</w:t>
            </w:r>
            <w:proofErr w:type="spellEnd"/>
            <w:r w:rsidRPr="00C24DD4">
              <w:rPr>
                <w:rFonts w:asciiTheme="minorHAnsi" w:eastAsia="Verdana" w:hAnsiTheme="minorHAnsi" w:cstheme="minorHAnsi"/>
                <w:i/>
                <w:color w:val="000000"/>
                <w:spacing w:val="1"/>
                <w:sz w:val="20"/>
                <w:szCs w:val="20"/>
              </w:rPr>
              <w:t>. 50/2016)</w:t>
            </w:r>
          </w:p>
          <w:p w:rsidR="00323DFE" w:rsidRPr="00C24DD4" w:rsidRDefault="00323DFE" w:rsidP="00323DFE">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323DFE" w:rsidRPr="00C24DD4" w:rsidRDefault="00323DFE" w:rsidP="00643269">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323DFE" w:rsidRPr="00C24DD4" w:rsidRDefault="00323DFE" w:rsidP="00323DFE">
      <w:pPr>
        <w:jc w:val="both"/>
        <w:rPr>
          <w:rFonts w:asciiTheme="minorHAnsi" w:hAnsiTheme="minorHAnsi" w:cstheme="minorHAnsi"/>
          <w:sz w:val="20"/>
          <w:szCs w:val="20"/>
        </w:rPr>
      </w:pPr>
    </w:p>
    <w:p w:rsidR="00323DFE" w:rsidRPr="00C24DD4" w:rsidRDefault="00323DF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 specifico riferimento alla manutenzione delle Appliance, le corrispondenti prestazioni, usualmente, vengono eseguite dall’impresa: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643269">
        <w:trPr>
          <w:trHeight w:val="1824"/>
        </w:trPr>
        <w:tc>
          <w:tcPr>
            <w:tcW w:w="8494" w:type="dxa"/>
            <w:shd w:val="clear" w:color="auto" w:fill="F2F2F2" w:themeFill="background1" w:themeFillShade="F2"/>
          </w:tcPr>
          <w:p w:rsidR="00323DFE" w:rsidRPr="00C24DD4" w:rsidRDefault="00323DFE" w:rsidP="00643269">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lastRenderedPageBreak/>
              <w:t>Direttamente</w:t>
            </w:r>
          </w:p>
          <w:p w:rsidR="00323DFE" w:rsidRPr="00C24DD4" w:rsidRDefault="00323DFE" w:rsidP="00643269">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Tramite subappaltatori</w:t>
            </w:r>
          </w:p>
          <w:p w:rsidR="00323DFE" w:rsidRPr="00C24DD4" w:rsidRDefault="00323DFE" w:rsidP="00643269">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 xml:space="preserve">Tramite la casa madre, in forza di contratti continuativi di cooperazione stipulati con la medesima (art. 105, comma 3, </w:t>
            </w:r>
            <w:proofErr w:type="spellStart"/>
            <w:r w:rsidRPr="00C24DD4">
              <w:rPr>
                <w:rFonts w:asciiTheme="minorHAnsi" w:eastAsia="Verdana" w:hAnsiTheme="minorHAnsi" w:cstheme="minorHAnsi"/>
                <w:i/>
                <w:color w:val="000000"/>
                <w:spacing w:val="1"/>
                <w:sz w:val="20"/>
                <w:szCs w:val="20"/>
              </w:rPr>
              <w:t>lett</w:t>
            </w:r>
            <w:proofErr w:type="spellEnd"/>
            <w:r w:rsidRPr="00C24DD4">
              <w:rPr>
                <w:rFonts w:asciiTheme="minorHAnsi" w:eastAsia="Verdana" w:hAnsiTheme="minorHAnsi" w:cstheme="minorHAnsi"/>
                <w:i/>
                <w:color w:val="000000"/>
                <w:spacing w:val="1"/>
                <w:sz w:val="20"/>
                <w:szCs w:val="20"/>
              </w:rPr>
              <w:t xml:space="preserve">. c-bis, del </w:t>
            </w:r>
            <w:proofErr w:type="spellStart"/>
            <w:r w:rsidRPr="00C24DD4">
              <w:rPr>
                <w:rFonts w:asciiTheme="minorHAnsi" w:eastAsia="Verdana" w:hAnsiTheme="minorHAnsi" w:cstheme="minorHAnsi"/>
                <w:i/>
                <w:color w:val="000000"/>
                <w:spacing w:val="1"/>
                <w:sz w:val="20"/>
                <w:szCs w:val="20"/>
              </w:rPr>
              <w:t>Dlgs</w:t>
            </w:r>
            <w:proofErr w:type="spellEnd"/>
            <w:r w:rsidRPr="00C24DD4">
              <w:rPr>
                <w:rFonts w:asciiTheme="minorHAnsi" w:eastAsia="Verdana" w:hAnsiTheme="minorHAnsi" w:cstheme="minorHAnsi"/>
                <w:i/>
                <w:color w:val="000000"/>
                <w:spacing w:val="1"/>
                <w:sz w:val="20"/>
                <w:szCs w:val="20"/>
              </w:rPr>
              <w:t>. 50/2016)</w:t>
            </w:r>
          </w:p>
          <w:p w:rsidR="00323DFE" w:rsidRPr="00C24DD4" w:rsidRDefault="00323DFE" w:rsidP="00643269">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323DFE" w:rsidRPr="00C24DD4" w:rsidRDefault="00323DFE" w:rsidP="00643269">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323DFE" w:rsidRPr="00C24DD4" w:rsidRDefault="00323DFE" w:rsidP="00323DFE">
      <w:pPr>
        <w:jc w:val="both"/>
        <w:rPr>
          <w:rFonts w:asciiTheme="minorHAnsi" w:hAnsiTheme="minorHAnsi" w:cstheme="minorHAnsi"/>
          <w:sz w:val="20"/>
          <w:szCs w:val="20"/>
        </w:rPr>
      </w:pPr>
    </w:p>
    <w:p w:rsidR="00AD666E" w:rsidRDefault="00AD666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Con </w:t>
      </w:r>
      <w:r>
        <w:rPr>
          <w:rFonts w:asciiTheme="minorHAnsi" w:hAnsiTheme="minorHAnsi" w:cstheme="minorHAnsi"/>
          <w:sz w:val="20"/>
          <w:szCs w:val="20"/>
        </w:rPr>
        <w:t>riferimento alla manutenzione delle Appliance</w:t>
      </w:r>
      <w:r w:rsidRPr="00C24DD4">
        <w:rPr>
          <w:rFonts w:asciiTheme="minorHAnsi" w:hAnsiTheme="minorHAnsi" w:cstheme="minorHAnsi"/>
          <w:sz w:val="20"/>
          <w:szCs w:val="20"/>
        </w:rPr>
        <w:t>, indicare, se diversi dai minimi richiesti, i livelli di servizio previsi per la presa in carico e per la risoluzione</w:t>
      </w:r>
      <w:r>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D666E" w:rsidRPr="00C24DD4" w:rsidTr="00830FA0">
        <w:trPr>
          <w:trHeight w:val="1824"/>
        </w:trPr>
        <w:tc>
          <w:tcPr>
            <w:tcW w:w="8494" w:type="dxa"/>
            <w:shd w:val="clear" w:color="auto" w:fill="F2F2F2" w:themeFill="background1" w:themeFillShade="F2"/>
          </w:tcPr>
          <w:p w:rsidR="00AD666E" w:rsidRPr="00C24DD4" w:rsidRDefault="00AD666E" w:rsidP="00AD666E">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AD666E" w:rsidRDefault="00AD666E" w:rsidP="00AD666E">
      <w:pPr>
        <w:spacing w:after="120" w:line="276" w:lineRule="auto"/>
        <w:jc w:val="both"/>
        <w:rPr>
          <w:rFonts w:asciiTheme="minorHAnsi" w:hAnsiTheme="minorHAnsi" w:cstheme="minorHAnsi"/>
          <w:sz w:val="20"/>
          <w:szCs w:val="20"/>
        </w:rPr>
      </w:pPr>
    </w:p>
    <w:p w:rsidR="00323DFE" w:rsidRPr="00C24DD4" w:rsidRDefault="00323DF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 in tutto o in parte, a soggetti pubblici o privati negli ultimi 3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643269">
        <w:trPr>
          <w:trHeight w:val="1824"/>
        </w:trPr>
        <w:tc>
          <w:tcPr>
            <w:tcW w:w="8494" w:type="dxa"/>
            <w:shd w:val="clear" w:color="auto" w:fill="F2F2F2" w:themeFill="background1" w:themeFillShade="F2"/>
          </w:tcPr>
          <w:p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323DFE" w:rsidRPr="00C24DD4" w:rsidRDefault="00323DFE" w:rsidP="00323DFE">
      <w:pPr>
        <w:jc w:val="both"/>
        <w:rPr>
          <w:rFonts w:asciiTheme="minorHAnsi" w:hAnsiTheme="minorHAnsi" w:cstheme="minorHAnsi"/>
          <w:sz w:val="20"/>
          <w:szCs w:val="20"/>
        </w:rPr>
      </w:pPr>
    </w:p>
    <w:p w:rsidR="00323DFE" w:rsidRPr="00C24DD4" w:rsidRDefault="00323DF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se l'azienda è presente sul Sistema Dinamico di Acquisizione, in particolare per la categoria Software, fornendo indicazioni circa la classe di fatturato</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643269">
        <w:trPr>
          <w:trHeight w:val="1824"/>
        </w:trPr>
        <w:tc>
          <w:tcPr>
            <w:tcW w:w="8494" w:type="dxa"/>
            <w:shd w:val="clear" w:color="auto" w:fill="F2F2F2" w:themeFill="background1" w:themeFillShade="F2"/>
          </w:tcPr>
          <w:p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rsidR="00323DFE" w:rsidRPr="00C24DD4" w:rsidRDefault="00323DFE" w:rsidP="00323DFE">
      <w:pPr>
        <w:jc w:val="both"/>
        <w:rPr>
          <w:rFonts w:asciiTheme="minorHAnsi" w:hAnsiTheme="minorHAnsi" w:cstheme="minorHAnsi"/>
          <w:sz w:val="20"/>
          <w:szCs w:val="20"/>
        </w:rPr>
      </w:pPr>
    </w:p>
    <w:p w:rsidR="003A3CB7" w:rsidRPr="00C24DD4" w:rsidRDefault="003A3CB7" w:rsidP="003A3CB7">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rsidTr="00643269">
        <w:trPr>
          <w:trHeight w:val="1824"/>
        </w:trPr>
        <w:tc>
          <w:tcPr>
            <w:tcW w:w="8494" w:type="dxa"/>
            <w:shd w:val="clear" w:color="auto" w:fill="F2F2F2" w:themeFill="background1" w:themeFillShade="F2"/>
          </w:tcPr>
          <w:p w:rsidR="003A3CB7" w:rsidRPr="00C24DD4" w:rsidRDefault="003A3CB7" w:rsidP="00643269">
            <w:pPr>
              <w:tabs>
                <w:tab w:val="left" w:pos="2016"/>
              </w:tabs>
              <w:spacing w:before="173" w:line="235" w:lineRule="exact"/>
              <w:jc w:val="both"/>
              <w:textAlignment w:val="baseline"/>
              <w:rPr>
                <w:rFonts w:asciiTheme="minorHAnsi" w:hAnsiTheme="minorHAnsi" w:cstheme="minorHAnsi"/>
                <w:bCs/>
                <w:sz w:val="20"/>
                <w:szCs w:val="20"/>
              </w:rPr>
            </w:pPr>
          </w:p>
        </w:tc>
      </w:tr>
    </w:tbl>
    <w:p w:rsidR="003A3CB7" w:rsidRPr="00C24DD4" w:rsidRDefault="003A3CB7" w:rsidP="003A3CB7">
      <w:pPr>
        <w:jc w:val="both"/>
        <w:rPr>
          <w:rFonts w:asciiTheme="minorHAnsi" w:hAnsiTheme="minorHAnsi" w:cstheme="minorHAnsi"/>
          <w:sz w:val="20"/>
          <w:szCs w:val="20"/>
        </w:rPr>
      </w:pPr>
    </w:p>
    <w:p w:rsidR="00D221F7" w:rsidRPr="00C24DD4" w:rsidRDefault="00D221F7">
      <w:pPr>
        <w:jc w:val="both"/>
        <w:rPr>
          <w:rFonts w:asciiTheme="minorHAnsi" w:hAnsiTheme="minorHAnsi" w:cstheme="minorHAnsi"/>
          <w:sz w:val="20"/>
          <w:szCs w:val="20"/>
        </w:rPr>
      </w:pPr>
    </w:p>
    <w:p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014CC" w:rsidRPr="00C24DD4" w:rsidRDefault="005014CC" w:rsidP="003A2D8C">
            <w:pPr>
              <w:ind w:left="284"/>
              <w:jc w:val="center"/>
              <w:rPr>
                <w:rFonts w:asciiTheme="minorHAnsi" w:hAnsiTheme="minorHAnsi" w:cstheme="minorHAnsi"/>
                <w:b/>
                <w:bCs/>
                <w:sz w:val="20"/>
                <w:szCs w:val="20"/>
              </w:rPr>
            </w:pPr>
          </w:p>
          <w:p w:rsidR="005014CC" w:rsidRPr="00C24DD4" w:rsidRDefault="005014CC" w:rsidP="003A2D8C">
            <w:pPr>
              <w:ind w:left="284"/>
              <w:jc w:val="center"/>
              <w:rPr>
                <w:rFonts w:asciiTheme="minorHAnsi" w:hAnsiTheme="minorHAnsi" w:cstheme="minorHAnsi"/>
                <w:b/>
                <w:bCs/>
                <w:sz w:val="20"/>
                <w:szCs w:val="20"/>
              </w:rPr>
            </w:pPr>
          </w:p>
          <w:p w:rsidR="00FD3529" w:rsidRPr="00C24DD4" w:rsidRDefault="00FD3529" w:rsidP="003A2D8C">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rsidTr="003A2D8C">
        <w:tc>
          <w:tcPr>
            <w:tcW w:w="2822" w:type="dxa"/>
            <w:tcBorders>
              <w:top w:val="single" w:sz="4" w:space="0" w:color="FFFFFF" w:themeColor="background1"/>
            </w:tcBorders>
            <w:shd w:val="clear" w:color="auto" w:fill="auto"/>
          </w:tcPr>
          <w:p w:rsidR="00FD3529" w:rsidRPr="00C24DD4" w:rsidRDefault="00FD3529" w:rsidP="003A2D8C">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rsidTr="003A2D8C">
        <w:trPr>
          <w:trHeight w:val="413"/>
        </w:trPr>
        <w:tc>
          <w:tcPr>
            <w:tcW w:w="2822" w:type="dxa"/>
            <w:shd w:val="clear" w:color="auto" w:fill="auto"/>
          </w:tcPr>
          <w:p w:rsidR="00FD3529" w:rsidRPr="00C24DD4" w:rsidRDefault="00FD3529" w:rsidP="003A2D8C">
            <w:pPr>
              <w:ind w:left="284"/>
              <w:jc w:val="both"/>
              <w:rPr>
                <w:rFonts w:asciiTheme="minorHAnsi" w:hAnsiTheme="minorHAnsi" w:cstheme="minorHAnsi"/>
                <w:bCs/>
                <w:i/>
                <w:sz w:val="20"/>
                <w:szCs w:val="20"/>
                <w:highlight w:val="yellow"/>
              </w:rPr>
            </w:pPr>
          </w:p>
          <w:p w:rsidR="00FD3529" w:rsidRPr="00C24DD4" w:rsidRDefault="00FD3529" w:rsidP="003A2D8C">
            <w:pPr>
              <w:ind w:left="284"/>
              <w:jc w:val="both"/>
              <w:rPr>
                <w:rFonts w:asciiTheme="minorHAnsi" w:hAnsiTheme="minorHAnsi" w:cstheme="minorHAnsi"/>
                <w:bCs/>
                <w:i/>
                <w:sz w:val="20"/>
                <w:szCs w:val="20"/>
                <w:highlight w:val="yellow"/>
              </w:rPr>
            </w:pPr>
          </w:p>
          <w:p w:rsidR="00FD3529" w:rsidRPr="00C24DD4" w:rsidRDefault="00FD3529" w:rsidP="003A2D8C">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rsidR="00FD3529" w:rsidRPr="00C24DD4" w:rsidRDefault="00FD3529">
      <w:pPr>
        <w:jc w:val="both"/>
        <w:rPr>
          <w:rFonts w:asciiTheme="minorHAnsi" w:hAnsiTheme="minorHAnsi" w:cstheme="minorHAnsi"/>
          <w:sz w:val="20"/>
          <w:szCs w:val="20"/>
        </w:rPr>
      </w:pPr>
      <w:bookmarkStart w:id="0" w:name="_GoBack"/>
      <w:bookmarkEnd w:id="0"/>
    </w:p>
    <w:sectPr w:rsidR="00FD3529" w:rsidRPr="00C24DD4"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AA" w:rsidRDefault="00D848AA">
      <w:r>
        <w:separator/>
      </w:r>
    </w:p>
  </w:endnote>
  <w:endnote w:type="continuationSeparator" w:id="0">
    <w:p w:rsidR="00D848AA" w:rsidRDefault="00D8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26504F" w:rsidRDefault="003A3CB7" w:rsidP="0026504F">
    <w:pPr>
      <w:pStyle w:val="Pidipagina"/>
      <w:pBdr>
        <w:top w:val="single" w:sz="4" w:space="1" w:color="auto"/>
      </w:pBdr>
      <w:rPr>
        <w:rFonts w:asciiTheme="minorHAnsi" w:hAnsiTheme="minorHAnsi"/>
        <w:i/>
        <w:color w:val="FF000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4655820</wp:posOffset>
              </wp:positionH>
              <wp:positionV relativeFrom="paragraph">
                <wp:posOffset>20320</wp:posOffset>
              </wp:positionV>
              <wp:extent cx="7442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74320"/>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D666E">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D666E">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66.6pt;margin-top:1.6pt;width:58.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D666E">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D666E">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v:shape>
          </w:pict>
        </mc:Fallback>
      </mc:AlternateContent>
    </w:r>
    <w:r w:rsidR="000547D2"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143BE2">
      <w:rPr>
        <w:rFonts w:asciiTheme="minorHAnsi" w:hAnsiTheme="minorHAnsi"/>
        <w:sz w:val="16"/>
        <w:szCs w:val="16"/>
      </w:rPr>
      <w:t>l’acquisizione di prodotti e servizi IBM per Sogei</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AA" w:rsidRDefault="00D848AA">
      <w:r>
        <w:separator/>
      </w:r>
    </w:p>
  </w:footnote>
  <w:footnote w:type="continuationSeparator" w:id="0">
    <w:p w:rsidR="00D848AA" w:rsidRDefault="00D8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6B50"/>
    <w:multiLevelType w:val="hybridMultilevel"/>
    <w:tmpl w:val="639250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D074DD"/>
    <w:multiLevelType w:val="hybridMultilevel"/>
    <w:tmpl w:val="1CC0607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03F7FE2"/>
    <w:multiLevelType w:val="multilevel"/>
    <w:tmpl w:val="90EA0706"/>
    <w:lvl w:ilvl="0">
      <w:numFmt w:val="bullet"/>
      <w:lvlText w:val="ü"/>
      <w:lvlJc w:val="left"/>
      <w:pPr>
        <w:tabs>
          <w:tab w:val="left" w:pos="2062"/>
        </w:tabs>
      </w:pPr>
      <w:rPr>
        <w:rFonts w:ascii="Wingdings" w:eastAsia="Wingdings" w:hAnsi="Wingdings"/>
        <w:i/>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325DA6"/>
    <w:multiLevelType w:val="multilevel"/>
    <w:tmpl w:val="F9028110"/>
    <w:lvl w:ilvl="0">
      <w:start w:val="5"/>
      <w:numFmt w:val="decimal"/>
      <w:lvlText w:val="%1."/>
      <w:lvlJc w:val="left"/>
      <w:pPr>
        <w:tabs>
          <w:tab w:val="left" w:pos="216"/>
        </w:tabs>
      </w:pPr>
      <w:rPr>
        <w:rFonts w:ascii="Tahoma" w:eastAsia="Tahoma" w:hAnsi="Tahoma"/>
        <w:i/>
        <w:color w:val="000000"/>
        <w:spacing w:val="3"/>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7BB6DB0"/>
    <w:multiLevelType w:val="multilevel"/>
    <w:tmpl w:val="A55E7512"/>
    <w:lvl w:ilvl="0">
      <w:numFmt w:val="bullet"/>
      <w:lvlText w:val="q"/>
      <w:lvlJc w:val="left"/>
      <w:pPr>
        <w:tabs>
          <w:tab w:val="left" w:pos="360"/>
        </w:tabs>
      </w:pPr>
      <w:rPr>
        <w:rFonts w:ascii="Wingdings" w:eastAsia="Wingdings" w:hAnsi="Wingdings"/>
        <w:i/>
        <w:color w:val="000000"/>
        <w:spacing w:val="2"/>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6"/>
  </w:num>
  <w:num w:numId="15">
    <w:abstractNumId w:val="11"/>
  </w:num>
  <w:num w:numId="16">
    <w:abstractNumId w:val="2"/>
  </w:num>
  <w:num w:numId="17">
    <w:abstractNumId w:val="0"/>
  </w:num>
  <w:num w:numId="18">
    <w:abstractNumId w:val="7"/>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7D2"/>
    <w:rsid w:val="0005499E"/>
    <w:rsid w:val="0005710D"/>
    <w:rsid w:val="00062AEF"/>
    <w:rsid w:val="0006511F"/>
    <w:rsid w:val="00071F4C"/>
    <w:rsid w:val="000730CA"/>
    <w:rsid w:val="00073A0B"/>
    <w:rsid w:val="00074BD2"/>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DAF"/>
    <w:rsid w:val="00121E14"/>
    <w:rsid w:val="001220D5"/>
    <w:rsid w:val="00126A73"/>
    <w:rsid w:val="00132904"/>
    <w:rsid w:val="001333DC"/>
    <w:rsid w:val="00135BB0"/>
    <w:rsid w:val="00140FA7"/>
    <w:rsid w:val="00143BE2"/>
    <w:rsid w:val="001445D4"/>
    <w:rsid w:val="00145859"/>
    <w:rsid w:val="00145C53"/>
    <w:rsid w:val="00146E16"/>
    <w:rsid w:val="0014768D"/>
    <w:rsid w:val="00152E32"/>
    <w:rsid w:val="001605B9"/>
    <w:rsid w:val="00161107"/>
    <w:rsid w:val="001623A3"/>
    <w:rsid w:val="00162CF2"/>
    <w:rsid w:val="00170448"/>
    <w:rsid w:val="001748C3"/>
    <w:rsid w:val="001779F8"/>
    <w:rsid w:val="0018120C"/>
    <w:rsid w:val="00183D59"/>
    <w:rsid w:val="00187F42"/>
    <w:rsid w:val="00194470"/>
    <w:rsid w:val="00194649"/>
    <w:rsid w:val="001A3AD8"/>
    <w:rsid w:val="001A64F3"/>
    <w:rsid w:val="001A721E"/>
    <w:rsid w:val="001B1A08"/>
    <w:rsid w:val="001B5727"/>
    <w:rsid w:val="001B6749"/>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23DFE"/>
    <w:rsid w:val="00341732"/>
    <w:rsid w:val="00362B1F"/>
    <w:rsid w:val="00362F17"/>
    <w:rsid w:val="0036747F"/>
    <w:rsid w:val="003779C2"/>
    <w:rsid w:val="00385B4E"/>
    <w:rsid w:val="003872B6"/>
    <w:rsid w:val="00392F63"/>
    <w:rsid w:val="003A273A"/>
    <w:rsid w:val="003A3CB7"/>
    <w:rsid w:val="003A6446"/>
    <w:rsid w:val="003A6579"/>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273"/>
    <w:rsid w:val="00460F71"/>
    <w:rsid w:val="00461922"/>
    <w:rsid w:val="004628F3"/>
    <w:rsid w:val="00481A66"/>
    <w:rsid w:val="00486B8C"/>
    <w:rsid w:val="004964E3"/>
    <w:rsid w:val="004A0AE2"/>
    <w:rsid w:val="004A271A"/>
    <w:rsid w:val="004A2F72"/>
    <w:rsid w:val="004A4368"/>
    <w:rsid w:val="004A4409"/>
    <w:rsid w:val="004A640B"/>
    <w:rsid w:val="004A70D0"/>
    <w:rsid w:val="004B14D3"/>
    <w:rsid w:val="004B50B7"/>
    <w:rsid w:val="004C2E2F"/>
    <w:rsid w:val="004D6D75"/>
    <w:rsid w:val="004E01B8"/>
    <w:rsid w:val="004E245E"/>
    <w:rsid w:val="004E6C39"/>
    <w:rsid w:val="005007A0"/>
    <w:rsid w:val="005014CC"/>
    <w:rsid w:val="00503ADF"/>
    <w:rsid w:val="00515940"/>
    <w:rsid w:val="00522F12"/>
    <w:rsid w:val="00525622"/>
    <w:rsid w:val="00530D14"/>
    <w:rsid w:val="00537CF5"/>
    <w:rsid w:val="0054166A"/>
    <w:rsid w:val="005509D9"/>
    <w:rsid w:val="00550D86"/>
    <w:rsid w:val="005517D1"/>
    <w:rsid w:val="00551AD7"/>
    <w:rsid w:val="00562E96"/>
    <w:rsid w:val="005637C1"/>
    <w:rsid w:val="00572825"/>
    <w:rsid w:val="00586E68"/>
    <w:rsid w:val="00587707"/>
    <w:rsid w:val="00590A00"/>
    <w:rsid w:val="00592892"/>
    <w:rsid w:val="00594CB4"/>
    <w:rsid w:val="005A0916"/>
    <w:rsid w:val="005A3003"/>
    <w:rsid w:val="005B7939"/>
    <w:rsid w:val="005C16C9"/>
    <w:rsid w:val="005C696C"/>
    <w:rsid w:val="005C6FCA"/>
    <w:rsid w:val="005E1CF1"/>
    <w:rsid w:val="005E567D"/>
    <w:rsid w:val="005F0D86"/>
    <w:rsid w:val="005F5CC4"/>
    <w:rsid w:val="00606C5A"/>
    <w:rsid w:val="00611984"/>
    <w:rsid w:val="006268AF"/>
    <w:rsid w:val="0062696B"/>
    <w:rsid w:val="00627CEF"/>
    <w:rsid w:val="00627EDA"/>
    <w:rsid w:val="00632B1F"/>
    <w:rsid w:val="0063682E"/>
    <w:rsid w:val="00636994"/>
    <w:rsid w:val="00664B06"/>
    <w:rsid w:val="006650CC"/>
    <w:rsid w:val="00670F17"/>
    <w:rsid w:val="006711E9"/>
    <w:rsid w:val="00671781"/>
    <w:rsid w:val="00682AE1"/>
    <w:rsid w:val="006867FF"/>
    <w:rsid w:val="00694206"/>
    <w:rsid w:val="006959A4"/>
    <w:rsid w:val="006B52EA"/>
    <w:rsid w:val="006B7CC3"/>
    <w:rsid w:val="006C0E01"/>
    <w:rsid w:val="006C5F95"/>
    <w:rsid w:val="006D6A5B"/>
    <w:rsid w:val="006E6B9B"/>
    <w:rsid w:val="006F2E39"/>
    <w:rsid w:val="00704266"/>
    <w:rsid w:val="007076F6"/>
    <w:rsid w:val="007233E0"/>
    <w:rsid w:val="00724627"/>
    <w:rsid w:val="00750C17"/>
    <w:rsid w:val="00755291"/>
    <w:rsid w:val="007614B2"/>
    <w:rsid w:val="00774E46"/>
    <w:rsid w:val="0077786E"/>
    <w:rsid w:val="007803D0"/>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71E2D"/>
    <w:rsid w:val="009817DB"/>
    <w:rsid w:val="009904D5"/>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4D97"/>
    <w:rsid w:val="00A168DF"/>
    <w:rsid w:val="00A17C5C"/>
    <w:rsid w:val="00A20761"/>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C2598"/>
    <w:rsid w:val="00AD666E"/>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4AB5"/>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010"/>
    <w:rsid w:val="00C12557"/>
    <w:rsid w:val="00C23478"/>
    <w:rsid w:val="00C24DD4"/>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079A"/>
    <w:rsid w:val="00C83F3B"/>
    <w:rsid w:val="00C847C1"/>
    <w:rsid w:val="00C865CD"/>
    <w:rsid w:val="00C9467E"/>
    <w:rsid w:val="00C971BB"/>
    <w:rsid w:val="00CA405F"/>
    <w:rsid w:val="00CA704C"/>
    <w:rsid w:val="00CB3829"/>
    <w:rsid w:val="00CB7A9A"/>
    <w:rsid w:val="00CD27F8"/>
    <w:rsid w:val="00CD6677"/>
    <w:rsid w:val="00CE7657"/>
    <w:rsid w:val="00CF2ACA"/>
    <w:rsid w:val="00CF46C0"/>
    <w:rsid w:val="00CF55BC"/>
    <w:rsid w:val="00CF671F"/>
    <w:rsid w:val="00D00A2A"/>
    <w:rsid w:val="00D13634"/>
    <w:rsid w:val="00D13C03"/>
    <w:rsid w:val="00D15CA3"/>
    <w:rsid w:val="00D17C2A"/>
    <w:rsid w:val="00D2071A"/>
    <w:rsid w:val="00D221F7"/>
    <w:rsid w:val="00D22BE4"/>
    <w:rsid w:val="00D26D55"/>
    <w:rsid w:val="00D31B15"/>
    <w:rsid w:val="00D355CD"/>
    <w:rsid w:val="00D422DD"/>
    <w:rsid w:val="00D425F0"/>
    <w:rsid w:val="00D55F98"/>
    <w:rsid w:val="00D562F7"/>
    <w:rsid w:val="00D6238F"/>
    <w:rsid w:val="00D73C90"/>
    <w:rsid w:val="00D741BC"/>
    <w:rsid w:val="00D848AA"/>
    <w:rsid w:val="00D906DF"/>
    <w:rsid w:val="00D91890"/>
    <w:rsid w:val="00D9407F"/>
    <w:rsid w:val="00D96158"/>
    <w:rsid w:val="00DB56EE"/>
    <w:rsid w:val="00DC624E"/>
    <w:rsid w:val="00DD367E"/>
    <w:rsid w:val="00DD6771"/>
    <w:rsid w:val="00DE5FAF"/>
    <w:rsid w:val="00DF404F"/>
    <w:rsid w:val="00E0369C"/>
    <w:rsid w:val="00E109F7"/>
    <w:rsid w:val="00E1122B"/>
    <w:rsid w:val="00E14DA2"/>
    <w:rsid w:val="00E203D3"/>
    <w:rsid w:val="00E2414A"/>
    <w:rsid w:val="00E33420"/>
    <w:rsid w:val="00E37ADF"/>
    <w:rsid w:val="00E4237D"/>
    <w:rsid w:val="00E42C16"/>
    <w:rsid w:val="00E42D66"/>
    <w:rsid w:val="00E616CD"/>
    <w:rsid w:val="00E62722"/>
    <w:rsid w:val="00E63961"/>
    <w:rsid w:val="00E6543C"/>
    <w:rsid w:val="00E66CB9"/>
    <w:rsid w:val="00E670E9"/>
    <w:rsid w:val="00E82DFF"/>
    <w:rsid w:val="00E859F1"/>
    <w:rsid w:val="00E96A87"/>
    <w:rsid w:val="00EB2EC3"/>
    <w:rsid w:val="00EB3FF7"/>
    <w:rsid w:val="00EB536E"/>
    <w:rsid w:val="00EC0CFD"/>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80128"/>
    <w:rsid w:val="00F8675F"/>
    <w:rsid w:val="00F86F34"/>
    <w:rsid w:val="00F913CA"/>
    <w:rsid w:val="00FA3210"/>
    <w:rsid w:val="00FA4E06"/>
    <w:rsid w:val="00FB116C"/>
    <w:rsid w:val="00FB1DD6"/>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1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240D-9DC5-4B50-940D-1A73884B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1971</Words>
  <Characters>11235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2019-06-18T08:45:00Z</dcterms:created>
  <dcterms:modified xsi:type="dcterms:W3CDTF">2021-04-15T16:32:00Z</dcterms:modified>
</cp:coreProperties>
</file>